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3 (Apache licensed) using REFERENCE JAXB in Oracle Java 11.0.5 on Linux -->
    <w:p>
      <w:pPr>
        <w:pStyle w:val="TitleStyle"/>
      </w:pPr>
      <w:r>
        <w:t>Zapewnianie dostępności osobom ze szczególnymi potrzebami.</w:t>
      </w:r>
    </w:p>
    <w:p>
      <w:pPr>
        <w:pStyle w:val="NormalStyle"/>
      </w:pPr>
      <w:r>
        <w:t>Dz.U.2019.1696 z dnia 2019.09.05</w:t>
      </w:r>
    </w:p>
    <w:p>
      <w:pPr>
        <w:pStyle w:val="NormalStyle"/>
      </w:pPr>
      <w:r>
        <w:t xml:space="preserve">Status: Akt obowiązujący </w:t>
      </w:r>
    </w:p>
    <w:p>
      <w:pPr>
        <w:pStyle w:val="NormalStyle"/>
      </w:pPr>
      <w:r>
        <w:t xml:space="preserve">Wersja od: 22 grudnia 2019r. </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 xml:space="preserve"> 20 września 2019 r.</w:t>
      </w:r>
      <w:r>
        <w:rPr>
          <w:rFonts w:ascii="Times New Roman"/>
          <w:b w:val="false"/>
          <w:i w:val="false"/>
          <w:color w:val="000000"/>
          <w:sz w:val="24"/>
          <w:lang w:val="pl-Pl"/>
        </w:rPr>
        <w:t>,
</w:t>
      </w:r>
      <w:r>
        <w:rPr>
          <w:rFonts w:ascii="Times New Roman"/>
          <w:b w:val="false"/>
          <w:i w:val="false"/>
          <w:color w:val="000000"/>
          <w:sz w:val="24"/>
          <w:lang w:val="pl-Pl"/>
        </w:rPr>
        <w:t xml:space="preserve"> 23 września 2019 r.</w:t>
      </w:r>
      <w:r>
        <w:rPr>
          <w:rFonts w:ascii="Times New Roman"/>
          <w:b w:val="false"/>
          <w:i w:val="false"/>
          <w:color w:val="000000"/>
          <w:sz w:val="24"/>
          <w:lang w:val="pl-Pl"/>
        </w:rPr>
        <w:t>,
</w:t>
      </w:r>
      <w:r>
        <w:rPr>
          <w:rFonts w:ascii="Times New Roman"/>
          <w:b w:val="false"/>
          <w:i w:val="false"/>
          <w:color w:val="000000"/>
          <w:sz w:val="24"/>
          <w:lang w:val="pl-Pl"/>
        </w:rPr>
        <w:t xml:space="preserve"> 23 września 2020 r.</w:t>
      </w:r>
      <w:r>
        <w:rPr>
          <w:rFonts w:ascii="Times New Roman"/>
          <w:b w:val="false"/>
          <w:i w:val="false"/>
          <w:color w:val="000000"/>
          <w:sz w:val="24"/>
          <w:lang w:val="pl-Pl"/>
        </w:rPr>
        <w:t>,
</w:t>
      </w:r>
      <w:r>
        <w:rPr>
          <w:rFonts w:ascii="Times New Roman"/>
          <w:b w:val="false"/>
          <w:i w:val="false"/>
          <w:color w:val="000000"/>
          <w:sz w:val="24"/>
          <w:lang w:val="pl-Pl"/>
        </w:rPr>
        <w:t xml:space="preserve"> 6 marca 2021 r.</w:t>
      </w:r>
      <w:r>
        <w:rPr>
          <w:rFonts w:ascii="Times New Roman"/>
          <w:b w:val="false"/>
          <w:i w:val="false"/>
          <w:color w:val="000000"/>
          <w:sz w:val="24"/>
          <w:lang w:val="pl-Pl"/>
        </w:rPr>
        <w:t>,
</w:t>
      </w:r>
      <w:r>
        <w:rPr>
          <w:rFonts w:ascii="Times New Roman"/>
          <w:b w:val="false"/>
          <w:i w:val="false"/>
          <w:color w:val="000000"/>
          <w:sz w:val="24"/>
          <w:lang w:val="pl-Pl"/>
        </w:rPr>
        <w:t xml:space="preserve"> 23 czerwca 2021 r.</w:t>
      </w:r>
      <w:r>
        <w:rPr>
          <w:rFonts w:ascii="Times New Roman"/>
          <w:b w:val="false"/>
          <w:i w:val="false"/>
          <w:color w:val="000000"/>
          <w:sz w:val="24"/>
          <w:lang w:val="pl-Pl"/>
        </w:rPr>
        <w:t>,
</w:t>
      </w:r>
      <w:r>
        <w:rPr>
          <w:rFonts w:ascii="Times New Roman"/>
          <w:b w:val="false"/>
          <w:i w:val="false"/>
          <w:color w:val="000000"/>
          <w:sz w:val="24"/>
          <w:lang w:val="pl-Pl"/>
        </w:rPr>
        <w:t xml:space="preserve"> 6 września 2021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
art. 73
</w:t>
      </w:r>
    </w:p>
    <w:p>
      <w:pPr>
        <w:spacing w:before="25" w:after="0"/>
        <w:ind w:left="0"/>
        <w:jc w:val="left"/>
        <w:textAlignment w:val="auto"/>
      </w:pPr>
      <w:r>
        <w:rPr>
          <w:rFonts w:ascii="Times New Roman"/>
          <w:b w:val="false"/>
          <w:i w:val="false"/>
          <w:color w:val="000000"/>
          <w:sz w:val="24"/>
          <w:lang w:val="pl-Pl"/>
        </w:rPr>
        <w:t>Ustawa wchodzi w życie po upływie 14 dni od dnia ogłoszenia, z wyjątkiem: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 ust. 2, art. 6 pkt 2 oraz art. 7 ust. 3, które wchodzą w życie w zakresie:</w:t>
      </w:r>
    </w:p>
    <w:p>
      <w:pPr>
        <w:spacing w:after="0"/>
        <w:ind w:left="0"/>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stron internetowych podmiotów publicznych nieopublikowanych przed dniem 23 września 2018 r. - z dniem 23 września 2019 r.,</w:t>
      </w:r>
    </w:p>
    <w:p>
      <w:pPr>
        <w:spacing w:after="0"/>
        <w:ind w:left="0"/>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stron internetowych podmiotów publicznych opublikowanych przed dniem 23 września 2018 r. - z dniem 23 września 2020 r.,</w:t>
      </w:r>
    </w:p>
    <w:p>
      <w:pPr>
        <w:spacing w:after="0"/>
        <w:ind w:left="0"/>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aplikacji mobilnych podmiotów publicznych - z dniem 23 czerwca 2021 r.;</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15-28, które wchodzą w życie po upływie 18 miesięcy od dnia ogłoszenia;</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4 ust. 3 i 4, art. 5 ust. 2, art. 29-34 i art. 51, które wchodzą w życie po upływie 24 miesięcy od dnia ogłoszenia.</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19 lipca 2019 r.</w:t>
      </w:r>
    </w:p>
    <w:p>
      <w:pPr>
        <w:spacing w:before="80" w:after="0"/>
        <w:ind w:left="0"/>
        <w:jc w:val="center"/>
        <w:textAlignment w:val="auto"/>
      </w:pPr>
      <w:r>
        <w:rPr>
          <w:rFonts w:ascii="Times New Roman"/>
          <w:b/>
          <w:i w:val="false"/>
          <w:color w:val="000000"/>
          <w:sz w:val="24"/>
          <w:lang w:val="pl-Pl"/>
        </w:rPr>
        <w:t>o zapewnianiu dostępności osobom ze szczególnymi potrzebami</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[Przedmiot regulacji]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Ustawa określa środki służące zapewnianiu dostępności osobom ze szczególnymi potrzebami oraz obowiązki podmiotów publicznych w tym zakresie.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dostępności cyfrowej w zakresie nieuregulowanym w niniejszej ustawie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4 kwietnia 2019 r. o dostępności cyfrowej stron internetowych i aplikacji mobilnych podmiotów publicznych (Dz. U. poz. 848).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[Definicje legalne]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Użyte w ustawie określenia oznaczają: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bariera - przeszkodę lub ograniczenie architektoniczne, cyfrowe lub informacyjno-komunikacyjne, które uniemożliwia lub utrudnia osobom ze szczególnymi potrzebami udział w różnych sferach życia na zasadzie równości z innymi osobami;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dostępność - dostępność architektoniczną, cyfrową oraz informacyjno-komunikacyjną, co najmniej w zakresie określonym przez minimalne wymagania, o których mowa w art. 6, będącą wynikiem uwzględnienia uniwersalnego projektowania albo zastosowania racjonalnego usprawnienia;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ze szczególnymi potrzebami - osobę,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uniwersalne projektowanie - uniwersalne projektowanie, o którym mowa w </w:t>
      </w:r>
      <w:r>
        <w:rPr>
          <w:rFonts w:ascii="Times New Roman"/>
          <w:b w:val="false"/>
          <w:i w:val="false"/>
          <w:color w:val="1b1b1b"/>
          <w:sz w:val="24"/>
          <w:lang w:val="pl-Pl"/>
        </w:rPr>
        <w:t>art. 2</w:t>
      </w:r>
      <w:r>
        <w:rPr>
          <w:rFonts w:ascii="Times New Roman"/>
          <w:b w:val="false"/>
          <w:i w:val="false"/>
          <w:color w:val="000000"/>
          <w:sz w:val="24"/>
          <w:lang w:val="pl-Pl"/>
        </w:rPr>
        <w:t xml:space="preserve"> Konwencji o prawach osób niepełnosprawnych, sporządzonej w Nowym Jorku dnia 13 grudnia 2006 r. (Dz. U. z 2012 r. poz. 1169 oraz z 2018 r. poz. 1217), zwanej dalej "Konwencją", uwzględniane w szczególności w celu spełnienia minimalnych wymagań, o których mowa w art. 6, dla zapewnienia dostępności osobom ze szczególnymi potrzebami;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racjonalne usprawnienie - racjonalne usprawnienie, o którym mowa w </w:t>
      </w:r>
      <w:r>
        <w:rPr>
          <w:rFonts w:ascii="Times New Roman"/>
          <w:b w:val="false"/>
          <w:i w:val="false"/>
          <w:color w:val="1b1b1b"/>
          <w:sz w:val="24"/>
          <w:lang w:val="pl-Pl"/>
        </w:rPr>
        <w:t>art. 2</w:t>
      </w:r>
      <w:r>
        <w:rPr>
          <w:rFonts w:ascii="Times New Roman"/>
          <w:b w:val="false"/>
          <w:i w:val="false"/>
          <w:color w:val="000000"/>
          <w:sz w:val="24"/>
          <w:lang w:val="pl-Pl"/>
        </w:rPr>
        <w:t xml:space="preserve"> Konwencji, stosowane w szczególności w celu spełnienia minimalnych wymagań, o których mowa w art. 6, dla zapewnienia dostępności osobom ze szczególnymi potrzebami.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[Podmioty obowiązane do zapewnienia dostępności osobom ze szczególnymi potrzebami]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zakresie określonym ustawą zapewnienie dostępności osobom ze szczególnymi potrzebami jest obowiązkiem: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jednostek sektora finansów publicznych w rozumieniu </w:t>
      </w:r>
      <w:r>
        <w:rPr>
          <w:rFonts w:ascii="Times New Roman"/>
          <w:b w:val="false"/>
          <w:i w:val="false"/>
          <w:color w:val="1b1b1b"/>
          <w:sz w:val="24"/>
          <w:lang w:val="pl-Pl"/>
        </w:rPr>
        <w:t>art. 9</w:t>
      </w:r>
      <w:r>
        <w:rPr>
          <w:rFonts w:ascii="Times New Roman"/>
          <w:b w:val="false"/>
          <w:i w:val="false"/>
          <w:color w:val="000000"/>
          <w:sz w:val="24"/>
          <w:lang w:val="pl-Pl"/>
        </w:rPr>
        <w:t xml:space="preserve"> ustawy z dnia 27 sierpnia 2009 r. o finansach publicznych (Dz. U. z 2019 r. poz. 869, 1622 i 1649),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innych, niż określone w pkt 1, państwowych jednostek organizacyjnych nieposiadających osobowości prawnej,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innych, niż określone w pkt 1, osób prawnych, utworzonych w szczególnym celu zaspokajania potrzeb o charakterze powszechnym niemających charakteru przemysłowego ani handlowego, jeżeli podmioty, o których mowa w tym przepisie oraz w pkt 1 i 2, pojedynczo lub wspólnie, bezpośrednio lub pośrednio przez inny podmiot: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finansują je w ponad 50%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posiadają ponad połowę udziałów albo akcji,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sprawują nadzór nad organem zarządzającym, lub</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mają prawo do powoływania ponad połowy składu organu nadzorczego lub zarządzającego,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związków podmiotów, o których mowa w pkt 1 i 2, lub podmiotów, o których mowa w pkt 3 - zwanych dalej "podmiotami publicznymi".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[Zapewnianie dostępności osobom ze szczególnymi potrzebami przez podmiot publiczny]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publiczny zapewnia dostępność osobom ze szczególnymi potrzebami przez stosowanie uniwersalnego projektowania lub racjonalnych usprawnień.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publiczny w ramach zapewniania dostępności osobom ze szczególnymi potrzebami podejmuje także działania mające na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uwzględnianie ich potrzeb w planowanej i prowadzonej przez ten podmiot działalności;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usuwanie barier, a także zapobieganie ich powstawaniu.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zlecania lub powierzania, na podstawie umowy, realizacji zadań publicznych finansowanych z udziałem środków publicznych lub udzielania zamówień publicznych podmiotom innym niż podmioty publiczne, podmiot publiczny jest obowiązany do określenia w treści umowy warunków służących zapewnieniu dostępności osobom ze szczególnymi potrzebami w zakresie tych zadań publicznych lub zamówień publicznych, z uwzględnieniem minimalnych wymagań, o których mowa w art. 6.</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Zapewnienie dostępności osobom ze szczególnymi potrzebami w ramach umowy, o której mowa w ust. 3, następuje, o ile jest to możliwe, z uwzględnieniem uniwersalnego projektowania.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[Zapewnianie dostępności osobom ze szczególnymi potrzebami przez podmioty inne niż podmiot publiczny]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Przedsiębiorcy oraz organizacje pozarządowe,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ustawy z dnia 24 kwietnia 2003 r. o działalności pożytku publicznego i o wolontariacie (Dz. U. z 2019 r. poz. 688 i 1570), dążą w prowadzonej działalności do zapewniania dostępności osobom ze szczególnymi potrzebami.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podmiot inny niż podmiot publiczny realizuje, na podstawie umowy zawartej z podmiotem publicznym, zadanie finansowane z udziałem środków publicznych, jest obowiązany do zapewnienia dostępności osobom ze szczególnymi potrzebami w zakresie określonym w tej umowie.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[Zakres minimalnych wymagań służących zapewnieniu dostępności osobom ze szczególnymi potrzebami]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Minimalne wymagania służące zapewnieniu dostępności osobom ze szczególnymi potrzebami obejmują: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zakresie dostępności architektonicznej: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zapewnienie wolnych od barier poziomych i pionowych przestrzeni komunikacyjnych budynków,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instalację urządzeń lub zastosowanie środków technicznych i rozwiązań architektonicznych w budynku, które umożliwiają dostęp do wszystkich pomieszczeń, z wyłączeniem pomieszczeń technicznych,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zapewnienie informacji na temat rozkładu pomieszczeń w budynku, co najmniej w sposób wizualny i dotykowy lub głosowy,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zapewnienie wstępu do budynku osobie korzystającej z psa asystującego, o którym mowa w </w:t>
      </w:r>
      <w:r>
        <w:rPr>
          <w:rFonts w:ascii="Times New Roman"/>
          <w:b w:val="false"/>
          <w:i w:val="false"/>
          <w:color w:val="1b1b1b"/>
          <w:sz w:val="24"/>
          <w:lang w:val="pl-Pl"/>
        </w:rPr>
        <w:t>art. 2 pkt 11</w:t>
      </w:r>
      <w:r>
        <w:rPr>
          <w:rFonts w:ascii="Times New Roman"/>
          <w:b w:val="false"/>
          <w:i w:val="false"/>
          <w:color w:val="000000"/>
          <w:sz w:val="24"/>
          <w:lang w:val="pl-Pl"/>
        </w:rPr>
        <w:t xml:space="preserve"> ustawy z dnia 27 sierpnia 1997 r. o rehabilitacji zawodowej i społecznej oraz zatrudnianiu osób niepełnosprawnych (Dz. U. z 2019 r. poz. 1172 i 1495),</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zapewnienie osobom ze szczególnymi potrzebami możliwości ewakuacji lub ich uratowania w inny sposób;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zakresie dostępności cyfrowej - wymagania określone w ustawie z dnia 4 kwietnia 2019 r. o dostępności cyfrowej stron internetowych i aplikacji mobilnych podmiotów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zakresie dostępności informacyjno-komunikacyjnej: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obsługę z wykorzystaniem środków wspierających komunikowanie się, o których mowa w </w:t>
      </w:r>
      <w:r>
        <w:rPr>
          <w:rFonts w:ascii="Times New Roman"/>
          <w:b w:val="false"/>
          <w:i w:val="false"/>
          <w:color w:val="1b1b1b"/>
          <w:sz w:val="24"/>
          <w:lang w:val="pl-Pl"/>
        </w:rPr>
        <w:t>art. 3 pkt 5</w:t>
      </w:r>
      <w:r>
        <w:rPr>
          <w:rFonts w:ascii="Times New Roman"/>
          <w:b w:val="false"/>
          <w:i w:val="false"/>
          <w:color w:val="000000"/>
          <w:sz w:val="24"/>
          <w:lang w:val="pl-Pl"/>
        </w:rPr>
        <w:t xml:space="preserve"> ustawy z dnia 19 sierpnia 2011 r. o języku migowym i innych środkach komunikowania się (Dz. U. z 2017 r. poz. 1824), lub przez wykorzystanie zdalnego dostępu online do usługi tłumacza przez strony internetowe i aplikacje,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instalację urządzeń lub innych środków technicznych do obsługi osób słabosłyszących, w szczególności pętli indukcyjnych, systemów FM lub urządzeń opartych o inne technologie, których celem jest wspomaganie słyszenia,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zapewnienie, na wniosek osoby ze szczególnymi potrzebami, komunikacji z podmiotem publicznym w formie określonej w tym wniosku.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[Dostęp alternatywny]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indywidualnym przypadku, jeżeli podmiot publiczny nie jest w stanie, w szczególności ze względów technicznych lub prawnych, zapewnić dostępności osobie ze szczególnymi potrzebami w zakresie, o którym mowa w art. 6 pkt 1 i 3, podmiot ten jest obowiązany zapewnić takiej osobie dostęp alternatywny.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Dostęp alternatywny, o którym mowa w ust. 1, polega w szczególności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zapewnieniu osobie ze szczególnymi potrzebami wsparcia innej osoby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zapewnieniu wsparcia technicznego osobie ze szczególnymi potrzebami, w tym z wykorzystaniem nowoczesnych technologii,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wprowadzeniu takiej organizacji podmiotu publicznego, która umożliwi realizację potrzeb osób ze szczególnymi potrzebami, w niezbędnym zakresie dla tych osób.</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braku możliwości zapewnienia osobie ze szczególnymi potrzebami dostępności w zakresie, o którym mowa w art. 6 pkt 2, zastosowanie mają przepisy </w:t>
      </w:r>
      <w:r>
        <w:rPr>
          <w:rFonts w:ascii="Times New Roman"/>
          <w:b w:val="false"/>
          <w:i w:val="false"/>
          <w:color w:val="1b1b1b"/>
          <w:sz w:val="24"/>
          <w:lang w:val="pl-Pl"/>
        </w:rPr>
        <w:t>art. 7</w:t>
      </w:r>
      <w:r>
        <w:rPr>
          <w:rFonts w:ascii="Times New Roman"/>
          <w:b w:val="false"/>
          <w:i w:val="false"/>
          <w:color w:val="000000"/>
          <w:sz w:val="24"/>
          <w:lang w:val="pl-Pl"/>
        </w:rPr>
        <w:t xml:space="preserve"> ustawy z dnia 4 kwietnia 2019 r. o dostępności cyfrowej stron internetowych i aplikacji mobilnych podmiotów publicznych.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Koordynacja zapewniania dostępności osobom ze szczególnymi potrzebami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[Organ koordynujący zapewnianie dostępności osobom ze szczególnymi potrzebami]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rozwoju regionalnego koordynuje zapewnianie dostępności osobom ze szczególnymi potrzebami.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[Zakres koordynacji]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Koordynacja, o której mowa w art. 8, polega w szczególności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monitorowaniu zapewniania dostępności osobom ze szczególnymi potrzebami, w zakresie, o którym mowa w art. 6 pkt 1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inicjowaniu zmian przepisów prawnych w zakresie zapewniania dostępności osobom ze szczególnymi potrzebami;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wyznaczaniu kierunków i prowadzeniu działań informacyjno-promocyjnych dotyczących zapewniania dostępności osobom ze szczególnymi potrzebami;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inicjowaniu badań naukowych w zakresie zapewniania dostępności osobom ze szczególnymi potrzebami, w szczególności z uwzględnieniem uniwersalnego projektowania;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promowaniu współpracy w zakresie zapewniania dostępności osobom ze szczególnymi potrzebami: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między jednostkami samorządu terytorialnego,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między organami administracji publicznej, organizacjami pozarządowymi i innymi podmiotami, uczelniami i instytutami badawczymi,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 innymi państwami, organizacjami oraz instytucjami zagranicznymi i międzynarodowymi;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inicjowaniu działań na rzecz poprawy świadomości społecznej w zakresie zapewniania dostępności osobom ze szczególnymi potrzebami;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opiniowaniu projektów programów przyjmowanych przez Radę Ministrów w zakresie zapewniania dostępności osobom ze szczególnymi potrzebami.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[Programy rządowe]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rozwoju regionalnego koordynuje zapewnianie dostępności osobom ze szczególnymi potrzebami również przez inicjowanie i realizację rządowych programów mających na celu wsparcie działań na rzecz dostępności.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Rządowe programy, o których mowa w ust. 1, są przyjmowane w drodze uchwały przez Radę Ministrów na wniosek ministra właściwego do spraw rozwoju regionalnego.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[Raporty o stanie zapewniania dostępności osobom ze szczególnymi potrzebami]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publiczny przekazuje co 4 lata, najpóźniej do dnia 31 marca danego roku, raport o stanie zapewniania dostępności osobom ze szczególnymi potrzebami w danym podmiocie, i publikuje go na swojej stronie podmiotowej Biuletynu Informacji Publicznej, a jeżeli nie ma strony podmiotowej Biuletynu Informacji Publicznej - na swojej stronie internetowej.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Raport, o którym mowa w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informacje w zakresie spełniania przez dany podmiot, w ramach prowadzonej działalności, minimalnych wymagań, o których mowa w art.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każdym przypadku zapewnienia dostępu alternatywnego zgodnie z art. 7 - analizę uzasadniającą brak zapewnienia dostępności osobie ze szczególnymi potrzebami.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Raport, o którym mowa w ust. 1, jest przygotowywany na formularzu opracowanym przez ministra właściwego do spraw rozwoju regionalnego i udostępnionym na stronie podmiotowej Biuletynu Informacji Publicznej tego ministra.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Raport, o którym mowa w ust. 1, jest przekazywany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ministra właściwego do spraw rozwoju regionalnego - w przypadku raportów przygotowywanych przez podmioty publiczne będące organami, o których mowa w </w:t>
      </w:r>
      <w:r>
        <w:rPr>
          <w:rFonts w:ascii="Times New Roman"/>
          <w:b w:val="false"/>
          <w:i w:val="false"/>
          <w:color w:val="1b1b1b"/>
          <w:sz w:val="24"/>
          <w:lang w:val="pl-Pl"/>
        </w:rPr>
        <w:t>art. 5 § 2 pkt 4</w:t>
      </w:r>
      <w:r>
        <w:rPr>
          <w:rFonts w:ascii="Times New Roman"/>
          <w:b w:val="false"/>
          <w:i w:val="false"/>
          <w:color w:val="000000"/>
          <w:sz w:val="24"/>
          <w:lang w:val="pl-Pl"/>
        </w:rPr>
        <w:t xml:space="preserve"> ustawy z dnia 14 czerwca 1960 r. - Kodeks postępowania administracyjnego (Dz. U. z 2018 r. poz. 2096 oraz z 2019 r. poz. 60, 730 i 1133), oraz inne podmioty publiczne o ogólnokrajowym zasięgu działania;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właściwego miejscowo wojewody - w przypadku raportów przygotowywanych przez podmioty publiczne inne niż podmioty, o których mowa w pkt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Raporty przygotowywane przez podmioty publiczne będące organami, o których mowa w </w:t>
      </w:r>
      <w:r>
        <w:rPr>
          <w:rFonts w:ascii="Times New Roman"/>
          <w:b w:val="false"/>
          <w:i w:val="false"/>
          <w:color w:val="1b1b1b"/>
          <w:sz w:val="24"/>
          <w:lang w:val="pl-Pl"/>
        </w:rPr>
        <w:t>art. 5 § 2 pkt 4</w:t>
      </w:r>
      <w:r>
        <w:rPr>
          <w:rFonts w:ascii="Times New Roman"/>
          <w:b w:val="false"/>
          <w:i w:val="false"/>
          <w:color w:val="000000"/>
          <w:sz w:val="24"/>
          <w:lang w:val="pl-Pl"/>
        </w:rPr>
        <w:t xml:space="preserve"> ustawy z dnia 14 czerwca 1960 r. - Kodeks postępowania administracyjnego, zawierają także informacje zbiorcze o stanie zapewniania dostępności osobom ze szczególnymi potrzebami w zakresie działalności jednostek podległych oraz nadzorowanych przez te organy.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Wojewoda, w terminie do dnia 30 czerwca danego roku, przygotowuje zbiorczy raport o stanie zapewniania dostępności osobom ze szczególnymi potrzebami na terenie danego województwa, uwzględniający dane z raportów, o których mowa w ust. 4 pkt 2, i przekazuje go ministrowi właściwemu do spraw rozwoju regionalnego.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rozwoju regionalnego, na podstawie raportów podmiotów, o których mowa w ust. 4 pkt 1, i zbiorczych raportów o stanie zapewniania dostępności osobom ze szczególnymi potrzebami na terenie danego województwa przygotowuje, w terminie do dnia 30 listopada danego roku, raport o stanie zapewniania dostępności osobom ze szczególnymi potrzebami w kraju i przekazuje go do zaopiniowania Radzie Dostępności, o której mowa w art. 13.</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rozwoju regionalnego, po uzyskaniu opinii, o której mowa w ust. 7, przedkłada raport o stanie zapewniania dostępności osobom ze szczególnymi potrzebami w kraju do wiadomości Rady Ministrów.</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Raport o stanie zapewniania dostępności osobom ze szczególnymi potrzebami w kraju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analizę stanu zapewniania dostępności osobom ze szczególnymi potrzebami przez podmioty publiczne;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ocenę skuteczności działań mających na celu zapewnienie dostępności osobom ze szczególnymi potrzebami przez podmioty publiczne;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rekomendacje dla poprawy zapewniania dostępności osobom ze szczególnymi potrzebami przez podmioty publiczne, w tym w zakresie zmian przepisów prawa oraz dokumentów dotyczących zapewniania dostępności osobom ze szczególnymi potrzebami.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[Sprawozdania przedstawiane na żądanie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Niezależnie od obowiązku, o którym mowa w art. 11 ust. </w:t>
      </w:r>
      <w:r>
        <w:rPr>
          <w:rFonts w:ascii="Times New Roman"/>
          <w:b/>
          <w:i w:val="false"/>
          <w:color w:val="000000"/>
          <w:sz w:val="24"/>
          <w:lang w:val="pl-Pl"/>
        </w:rPr>
        <w:t xml:space="preserve">1, </w:t>
      </w:r>
      <w:r>
        <w:rPr>
          <w:rFonts w:ascii="Times New Roman"/>
          <w:b w:val="false"/>
          <w:i w:val="false"/>
          <w:color w:val="000000"/>
          <w:sz w:val="24"/>
          <w:lang w:val="pl-Pl"/>
        </w:rPr>
        <w:t>w szczególnie uzasadnionych przypadkach, minister właściwy do spraw rozwoju regionalnego może, w każdym czasie, występować do podmiotów publicznych o przedstawienie sprawozdań dotyczących zapewnienia dostępności osobom ze szczególnymi potrzebami w zakresie ich działalności.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[Rada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ministrze właściwym do spraw rozwoju regionalnego działa Rada Dostępności, zwana dalej "Radą", jako organ opiniodawczo-doradczy tego ministra.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Rady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opiniowanie przekazanych Radzie projektów aktów prawnych i innych dokumentów dotyczących zapewniania dostępności osobom ze szczególnymi potrzebami;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proponowanie ministrowi właściwemu do spraw rozwoju regionalnego sposobu realizacji zadań określonych w programach mających na celu wsparcie działań na rzecz zapewniania dostępności osobom ze szczególnymi potrzebami;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przedstawianie propozycji w przedmiocie zmiany przepisów w zakresie zapewniania dostępności osobom ze szczególnymi potrzebami;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proponowanie rozwiązań w zakresie zapewniania dostępności osobom ze szczególnymi potrzebami do zastosowania przez organy administracji publicznej;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wyrażanie opinii i zajmowanie stanowisk, w szczególności w zakresie zapewniania dostępności osobom ze szczególnymi potrzebami oraz działań na rzecz poprawy świadomości społecznej w zakresie dostępności;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wskazywanie ekspertów, o których mowa w art. 16 ust. 5 pkt 2;</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przygotowanie rocznego sprawozdania z działalności Rady.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Rada składa się maksymalnie z 50 członków.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 Rady ustala minister właściwy do spraw rozwoju regionalnego, spośród kandydatów zgłoszonych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organy administracji rządowej,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Pełnomocnika Rządu do Spraw Osób Niepełnosprawnych,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1997 r. o rehabilitacji zawodowej i społecznej oraz zatrudnianiu osób niepełnosprawnych,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Komisję Wspólną Rządu i Samorządu Terytorialnego, o której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maja 2005 r. o Komisji Wspólnej Rządu i Samorządu Terytorialnego oraz o przedstawicielach Rzeczypospolitej Polskiej w Komitecie Regionów Unii Europejskiej (Dz. U. poz. 759),</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Radę Dialogu Społecznego, o której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24 lipca 2015 r. o Radzie Dialogu Społecznego i innych instytucjach dialogu społecznego (Dz. U. z 2018 r. poz. 2232),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Radę Działalności Pożytku Publicznego oraz Komitet do spraw Pożytku Publicznego,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24 kwietnia 2003 r. o działalności pożytku publicznego i o wolontariacie,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Krajową Izbę Gospodarczą, o której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30 maja 1989 r. o izbach gospodarczych (Dz. U. z 2019 r. poz. 579),</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Prezesa Zarządu Państwowego Funduszu Rehabilitacji Osób Niepełnosprawnych,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1997 r. o rehabilitacji zawodowej i społecznej oraz zatrudnianiu osób niepełnosprawnych, zwanego dalej "Prezesem Zarządu PFRON",</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Krajową Radę Konsultacyjną do Spraw Osób Niepełnosprawnych, o której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1997 r. o rehabilitacji zawodowej i społecznej oraz zatrudnianiu osób niepełnosprawnych,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inne podmioty istotne w zakresie zadań Rady</w:t>
      </w:r>
    </w:p>
    <w:p>
      <w:pPr>
        <w:spacing w:before="25" w:after="0"/>
        <w:ind w:left="0"/>
        <w:jc w:val="both"/>
        <w:textAlignment w:val="auto"/>
      </w:pPr>
      <w:r>
        <w:rPr>
          <w:rFonts w:ascii="Times New Roman"/>
          <w:b w:val="false"/>
          <w:i w:val="false"/>
          <w:color w:val="000000"/>
          <w:sz w:val="24"/>
          <w:lang w:val="pl-Pl"/>
        </w:rPr>
        <w:t>- zwane dalej "podmiotami zgłaszającymi".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rozwoju regionalnego zwraca się pisemnie do podmiotów zgłaszających o zgłoszenie kandydatów do Rady.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rozwoju regionalnego może powołać do składu Rady również inne osoby.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rozwoju regionalnego powołuje członków Rady spośród osób:</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wskazanych przez podmioty zgłaszające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których mowa w ust. 6</w:t>
      </w:r>
    </w:p>
    <w:p>
      <w:pPr>
        <w:spacing w:before="25" w:after="0"/>
        <w:ind w:left="0"/>
        <w:jc w:val="both"/>
        <w:textAlignment w:val="auto"/>
      </w:pPr>
      <w:r>
        <w:rPr>
          <w:rFonts w:ascii="Times New Roman"/>
          <w:b w:val="false"/>
          <w:i w:val="false"/>
          <w:color w:val="000000"/>
          <w:sz w:val="24"/>
          <w:lang w:val="pl-Pl"/>
        </w:rPr>
        <w:t>- biorąc pod uwagę ich kompetencje, doświadczenie i wiedzę ekspercką w zakresie dostępności.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Członkiem Rady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korzysta z pełni praw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wyraziła zgodę na powołanie w skład Rady.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Kadencja Rady trwa cztery lata.</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Przed upływem kadencji członkostwo w Radzie wygasa na skutek: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rezygnacji złożonej na piśmie przewodniczącemu Rady;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wniosku podmiotu zgłaszającego;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niemożności sprawowania funkcji z powodu długotrwałej choroby stwierdzonej zaświadczeniem lekarskim;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skazania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pozbawienia praw publicznych.</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o którym mowa w ust. 10, minister właściwy do spraw rozwoju regionalnego może powołać nowego członka Rady na okres pozostały do końca kadencji, spośród pozostałych kandydatów, zgłoszonych zgodnie z ust. 4, po potwierdzeniu aktualności zgłoszenia, lub spośród osób, o których mowa w ust. 6.</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Przewodniczącym Rady jest minister właściwy do spraw rozwoju regionalnego.</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Przewodniczący Rady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kieruje jej pracami i reprezentuje ją na zewnątrz;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powoływać grupy robocze.</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 przypadku nieobecności przewodniczącego Rady zastępuje go wyznaczona przez niego osoba zatrudniona w urzędzie obsługującym ministra właściwego do spraw rozwoju regionalnego.</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Na posiedzenie Rady mogą być zapraszane przez przewodniczącego Rady inne osoby, o ile jest to uzasadnione zadaniami Rady.</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Udział w pracach Rady jest nieodpłatny.</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 xml:space="preserve">Za udział w pracach Rady członkom Rady oraz osobom, o których mowa w ust. 15, przysługuje zwrot kosztów podróży, na warunkach określonych w przepisach wydanych na podstawie </w:t>
      </w:r>
      <w:r>
        <w:rPr>
          <w:rFonts w:ascii="Times New Roman"/>
          <w:b w:val="false"/>
          <w:i w:val="false"/>
          <w:color w:val="1b1b1b"/>
          <w:sz w:val="24"/>
          <w:lang w:val="pl-Pl"/>
        </w:rPr>
        <w:t>art. 77</w:t>
      </w:r>
      <w:r>
        <w:rPr>
          <w:rFonts w:ascii="Times New Roman"/>
          <w:b w:val="false"/>
          <w:i w:val="false"/>
          <w:color w:val="1b1b1b"/>
          <w:sz w:val="24"/>
          <w:vertAlign w:val="superscript"/>
          <w:lang w:val="pl-Pl"/>
        </w:rPr>
        <w:t>5</w:t>
      </w:r>
      <w:r>
        <w:rPr>
          <w:rFonts w:ascii="Times New Roman"/>
          <w:b w:val="false"/>
          <w:i w:val="false"/>
          <w:color w:val="1b1b1b"/>
          <w:sz w:val="24"/>
          <w:lang w:val="pl-Pl"/>
        </w:rPr>
        <w:t xml:space="preserve"> § 2</w:t>
      </w:r>
      <w:r>
        <w:rPr>
          <w:rFonts w:ascii="Times New Roman"/>
          <w:b w:val="false"/>
          <w:i w:val="false"/>
          <w:color w:val="000000"/>
          <w:sz w:val="24"/>
          <w:lang w:val="pl-Pl"/>
        </w:rPr>
        <w:t xml:space="preserve"> ustawy z dnia 26 czerwca 1974 r. - Kodeks pracy (Dz. U. z 2019 r. poz. 1040, 1043 i 1495).</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Obsługę Rady zapewnia urząd obsługujący ministra właściwego do spraw rozwoju regionalnego.</w:t>
      </w:r>
    </w:p>
    <w:p>
      <w:pPr>
        <w:spacing w:before="26" w:after="0"/>
        <w:ind w:left="0"/>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Szczegółowy tryb działania Rady określa regulamin ustanawiany przez ministra właściwego do spraw rozwoju regionalnego.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[Koordynator do spraw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Każdy organ władzy publicznej, w tym organ administracji rządowej i samorządowej, organ kontroli państwowej i ochrony prawa oraz sądy i trybunały, wyznacza co najmniej jedną osobę pełniącą funkcję koordynatora do spraw dostępności.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koordynatora do spraw dostępności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wsparcie osób ze szczególnymi potrzebami w dostępie do usług świadczonych przez podmiot, o którym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przygotowanie i koordynacja wdrożenia planu działania na rzecz poprawy zapewniania dostępności osobom ze szczególnymi potrzebami przez podmiot, o którym mowa w ust. 1, zgodnie z wymaganiami określonymi w art. 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monitorowanie działalności podmiotu, o którym mowa w ust. 1, w zakresie zapewniania dostępności osobom ze szczególnymi potrzebami.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Plan działania, o którym mowa w ust. 2 pkt 2, obejmuje w szczególności analizę stanu zapewnienia dostępności osobom ze szczególnymi potrzebami przez podmiot, o którym mowa w ust. 1, oraz planowane działania w zakresie poprawy realizacji zadań w zakresie dostępności przez ten podmiot.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sądach powszechnych i powszechnych jednostkach organizacyjnych prokuratury, mając na uwadze ich strukturę organizacyjną, możliwe jest wyznaczenie wspólnego koordynatora do spraw dostępności, dla więcej niż jednego sądu lub więcej niż jednej jednostki organizacyjnej prokuratury, na podstawie odrębnego porozumienia.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Podmiot, o którym mowa w ust. 1, publikuje na swojej stronie podmiotowej Biuletynu Informacji Publicznej, a jeżeli nie ma strony podmiotowej Biuletynu Informacji Publicznej - na swojej stronie internetowej, dane kontaktowe koordynatora do spraw dostępności oraz treść planu działania, o którym mowa w ust. 2 pkt 2.</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Certyfikacja dostępności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[Cel i zakres certyfikacji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Certyfikacja dostępności, zwana dalej "certyfikacją", ma na celu potwierdzenie, czy podmiot, o którym mowa w art. 5 ust. 1, zapewnia dostępność osobom ze szczególnymi potrzebami.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Certyfikacja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weryfikację spełnienia minimalnych wymagań, o których mowa w art. 6, przez przeprowadzenie audytu dostępności;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sformułowanie szczegółowych zaleceń w zakresie poprawy zapewniania dostępności osobom ze szczególnymi potrzebami przez dany podmiot;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wydanie certyfikatu dostępności.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Certyfikacji dokonują wyłącznie podmioty posiadające zasoby organizacyjne, kadrowe oraz narzędzia pozwalające na należyte przeprowadzenie certyfikacji, wyłonione przez ministra właściwego do spraw rozwoju regionalnego po przeprowadzeniu otwartego naboru.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[Przyznanie statusu podmiotów dokonujących certyfikacji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rozwoju regionalnego ogłasza otwarty nabór podmiotów ubiegających się o status podmiotów dokonujących certyfikacji: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swojej stronie podmiotowej w Biuletynie Informacji Publicznej;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stronie internetowej urzędu obsługującego ministra właściwego do spraw rozwoju regionalnego.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Ogłoszenie o naborze, o którym mowa w ust. 1,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informacje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szczegółowych wymogach, jakie musi spełniać podmiot, aby uzyskać status podmiotu dokonującego certyfikacji,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terminie składania wniosków o nadanie statusu podmiotu dokonującego certyfikacji, który nie może być krótszy niż 30 dni od dnia ukazania się ogłoszenia o naborze na stronie, o której mowa w ust. 1 pkt 1,</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trybie weryfikacji wniosków o nadanie statusu podmiotu dokonującego certyfikacji;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wniosku o nadanie statusu podmiotu dokonującego certyfikacji.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nadanie statusu podmiotu dokonującego certyfikacji podlega ocenie w zakresie posiadania przez dany podmiot zasobów organizacyjnych, kadrowych oraz narzędzi, pozwalających na należyte przeprowadzenie certyfikacji.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celu weryfikacji wniosków o nadanie statusu podmiotu dokonującego certyfikacji minister właściwy do spraw rozwoju regionalnego powołuje Zespół do spraw weryfikacji wniosków, zwany dalej "Zespołem".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skład Zespołu: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wchodzą pracownicy urzędu obsługującego ministra właściwego do spraw rozwoju regionalnego, wskazani przez tego ministra;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mogą wchodzić eksperci wskazani przez Radę.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Udział w pracach Zespołu jest nieodpłatny.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Przewodniczącego Zespołu wyznacza minister właściwy do spraw rozwoju regionalnego spośród pracowników urzędu obsługującego tego ministra.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Do członków Zespołu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dotyczące wyłączenia pracownika.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Wyniki naboru, o którym mowa w ust. 1, minister właściwy do spraw rozwoju regionalnego publikuje niezwłocznie po zakończeniu prac Zespołu na stronie, o której mowa w ust. 1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[Wykaz podmiotów dokonujących certyfikacji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rozwoju regionalnego prowadzi wykaz podmiotów dokonujących certyfikacji. Wykaz jest zamieszczany na stronie, o której mowa w art. 16 ust. 1 pkt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wykazu, o którym mowa w ust. 1, wpisuje się podmioty, które spełniają wymogi, o których mowa w art. 15 ust. 3, wyłonione w wyniku naboru, o którym mowa w art. 16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[Odmowa nadania statusu podmiotu dokonującego certyfikacji dostępności; wykreślenie z wykazu]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ubiegający się o status podmiotu dokonującego certyfikacji nie spełnia wymogów, o których mowa w art. 15 ust. 3 - minister właściwy do spraw rozwoju regionalnego odmawia, w drodze decyzji, nadania temu podmiotowi statusu podmiotu dokonującego certyfikacji;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wpisany do wykazu, o którym mowa w art. 17 ust. 1, przestał spełniać wymogi, o których mowa w art. 15 ust. 3 - minister właściwy do spraw rozwoju regionalnego pozbawia, w drodze decyzji, ten podmiot statusu podmiotu dokonującego certyfikacji i wykreśla ten podmiot z wykazu.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[Certyfikat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Dokumentem potwierdzającym spełnianie minimalnych wymagań, o których mowa w art. 6, jest certyfikat dostępności, zwany dalej "certyfikatem", wydawany dla konkretnego podmiotu na okres czterech lat od dnia wydania.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Certyfikat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podmiotu dokonującego certyfikacji;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podmiotu, dla którego został wydany, oraz wskazanie adresu jego siedziby;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i oznaczenie certyfikatu;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skrócony opis zapewnienia dostępności osobom ze szczególnymi potrzebami w zakresie minimalnych wymagań, o których mowa w art. 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okres ważności certyfikatu;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datę wydania i podpis uprawnionej osoby.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Certyfikat może ponadto zawierać zalecenia w zakresie poprawy zapewniania dostępności osobom ze szczególnymi potrzebami przez dany podmiot.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[Kontrola i ocena działalności podmiotu dokonującego certyfikacji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rozwoju regionalnego może dokonywać kontroli i oceny działalności podmiotu dokonującego certyfikacji,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efektywności, rzetelności i jakości działalności w zakresie dokonywania certyfikacji;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spełniania wymogów, o których mowa w art. 15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przechowywania dokumentacji związanej z dokonywaniem certyfikacji.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[Wniosek o dokonanie certyfikacji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Certyfikacji dokonuje się na wniosek podmiotu ubiegającego się o certyfikat, zawierający nazwę i adres siedziby tego podmiotu oraz wskazanie zakresu prowadzonej przez ten podmiot działalności. Wniosek jest składany do podmiotu dokonującego certyfikacji na formularzu zgodnym z wzorem określonym w przepisach wydanych na podstawie art. 28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Wniosek, o którym mowa w ust. 1, może zostać złożony w postaci papierowej albo elektronicznej za pomocą środków komunikacji elektronicznej,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18 lipca 2002 r. o świadczeniu usług drogą elektroniczną (Dz. U. z 2019 r. poz. 123 i 730), z tym że wniosek złożony za pomocą środków komunikacji elektronicznej opatruje się kwalifikowanym podpisem elektronicznym.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 ubiegający się o certyfikat nie może być powiązany faktycznie lub prawnie z podmiotem dokonującym certyfikacji.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[Umowa o dokonanie certyfikacji dostępności; opłata certyfikacyjna]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Dokonanie certyfikacji odbywa się na podstawie umowy zawieranej między podmiotem dokonującym certyfikacji a podmiotem ubiegającym się o certyfikat.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Dokonanie certyfikacji podlega opłacie certyfikacyjnej, której wysokość jest ustalana w umowie, o której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Opłata certyfikacyjna wnoszona na rzecz podmiotu dokonującego certyfikacji nie może przekroczyć: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trzykrotności - w przypadku prowadzenia działalności w jednym obiekcie,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sześciokrotności - w przypadku prowadzenia działalności w od dwóch do pięciu obiektach,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dziesięciokrotności - w przypadku prowadzenia działalności w od sześciu do dziesięciu obiektach,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dwudziestokrotności - w przypadku prowadzenia działalności w od jedenastu do dwudziestu obiektach,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trzydziestokrotności - w przypadku prowadzenia działalności w więcej niż dwudziestu obiektach</w:t>
      </w:r>
    </w:p>
    <w:p>
      <w:pPr>
        <w:spacing w:before="25" w:after="0"/>
        <w:ind w:left="0"/>
        <w:jc w:val="both"/>
        <w:textAlignment w:val="auto"/>
      </w:pPr>
      <w:r>
        <w:rPr>
          <w:rFonts w:ascii="Times New Roman"/>
          <w:b w:val="false"/>
          <w:i w:val="false"/>
          <w:color w:val="000000"/>
          <w:sz w:val="24"/>
          <w:lang w:val="pl-Pl"/>
        </w:rPr>
        <w:t xml:space="preserve">- przeciętnego wynagrodzenia miesięcznego w gospodarce narodowej w roku kalendarzowym ostatnio ogłoszonego przez Prezesa Głównego Urzędu Statystycznego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17 grudnia 1998 r. o emeryturach i rentach z Funduszu Ubezpieczeń Społecznych (Dz. U. z 2018 r. poz. 1270 i 2245 oraz z 2019 r. poz. 39, 730, 752 i 1622), ustalonego według stanu na dzień złożenia wniosku o wydanie certyfikatu.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[Przekazanie certyfikatu dostępności lub zawiadomienia o odmowie wydania certyfikatu]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Podmiot dokonujący certyfikacji, w terminie nie dłuższym niż 3 miesiące od dnia złożenia kompletnego wniosku: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stwierdzenia, że podmiot ubiegający się o certyfikat spełnia minimalne wymagania, o których mowa w art. 6 - przekazuje temu podmiotowi certyfikat w postaci papierowej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zawiadamia podmiot ubiegający się o certyfikat o odmowie wydania certyfikatu.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[Obowiązki podmiotu dokonującego certyfikacji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Podmiot dokonujący certyfikacji jest obowiązany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przechowywania wydanego certyfikatu przez okres 5 lat od daty jego wydania;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przekazywania do ministra właściwego do spraw rozwoju regionalnego informacji o wydanych certyfikatach;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przechowywania dokumentów lub ich kopii i danych, na podstawie których został wydany certyfikat, a także do udostępniania tych dokumentów lub danych na żądanie ministra właściwego do spraw rozwoju regionalnego.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[Obowiązku podmiotu posiadającego certyfikat dostępności; kontrole przeprowadzane przez podmiot dokonujący certyfikacji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okresie ważności certyfikatu: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któremu został wydany certyfikat, jest obowiązany spełniać minimalne wymagania, o których mowa w art.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dokonujący certyfikacji może przeprowadzać kontrolę w zakresie spełniania minimalnych wymagań, o których mowa w art. 6, przez podmiot, któremu został wydany certyfikat.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[Cofnięcie certyfikatu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podmiot, któremu został wydany certyfikat, przestał spełniać minimalne wymagania, o których mowa w art. 6, podmiot dokonujący certyfikacji cofa certyfikat.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cofnięcia certyfikatu podmiot dokonujący certyfikacji jest obowiązany zawiadomić ministra właściwego do spraw rozwoju regionalnego oraz podmiot, któremu wydano certyfikat, o cofnięciu tego certyfikatu, wskazując jednocześnie uzasadnienie faktyczne i prawne.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[Skarga do sądu administracyjnego]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 którym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23 pkt 2, podmiotowi ubiegającemu się o certyfikat,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26 ust. 1, podmiotowi, któremu wydano certyfikat</w:t>
      </w:r>
    </w:p>
    <w:p>
      <w:pPr>
        <w:spacing w:before="25" w:after="0"/>
        <w:ind w:left="0"/>
        <w:jc w:val="both"/>
        <w:textAlignment w:val="auto"/>
      </w:pPr>
      <w:r>
        <w:rPr>
          <w:rFonts w:ascii="Times New Roman"/>
          <w:b w:val="false"/>
          <w:i w:val="false"/>
          <w:color w:val="000000"/>
          <w:sz w:val="24"/>
          <w:lang w:val="pl-Pl"/>
        </w:rPr>
        <w:t>- przysługuje skarga do sądu administracyjnego w terminie 30 dni od dnia doręczenia zawiadomienia odpowiednio o odmowie wydania certyfikatu lub o cofnięciu certyfikatu.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postępowaniu przed sądem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30 sierpnia 2002 r. - Prawo o postępowaniu przed sądami administracyjnymi (Dz. U. z 2018 r. poz. 1302, z późn. zm.) o zaskarżaniu do sądu decyzji administracyjnych.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[Publikacja informacji o podmiotach, którym został wydany certyfikat dostępności;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rozwoju regionalnego podaje do publicznej wiadomości, na swojej stronie podmiotowej Biuletynu Informacji Publicznej, informacje o podmiotach, którym został wydany certyfikat.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rozwoju regionalnego, po zasięgnięciu opinii Rady,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wymogi, jakie muszą spełniać podmioty dokonujące certyfikacji,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wniosku o wydanie certyfikatu,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certyfikatu</w:t>
      </w:r>
    </w:p>
    <w:p>
      <w:pPr>
        <w:spacing w:before="25" w:after="0"/>
        <w:ind w:left="0"/>
        <w:jc w:val="both"/>
        <w:textAlignment w:val="auto"/>
      </w:pPr>
      <w:r>
        <w:rPr>
          <w:rFonts w:ascii="Times New Roman"/>
          <w:b w:val="false"/>
          <w:i w:val="false"/>
          <w:color w:val="000000"/>
          <w:sz w:val="24"/>
          <w:lang w:val="pl-Pl"/>
        </w:rPr>
        <w:t>- uwzględniając konieczność stworzenia efektywnych warunków dokonywania certyfikacji w skali kraju, zapewnienia jawności i jednolitości procesu certyfikacji, zagwarantowania poprawności i kompletności informacji zawartych we wniosku oraz potrzebę ujednolicenia wydawanych dokumentów.</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Postępowanie skargowe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[Informowanie podmiotu publicznego o braku dostępności architektonicznej lub informacyjno-komunikacyjnej]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Każdy, bez konieczności wykazania interesu prawnego lub faktycznego, ma prawo poinformować podmiot publiczny o braku dostępności architektonicznej lub informacyjno-komunikacyjnej, o których mowa odpowiednio w art. 6 pkt 1 lub 3, tego podmiotu.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[Wniosek o zapewnienie dostępności architektonicznej lub informacyjno-komunikacyjnej]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ze szczególnymi potrzebami lub jej przedstawiciel ustawowy, po wykazaniu interesu faktycznego, ma prawo wystąpić z wnioskiem o zapewnienie dostępności architektonicznej lub informacyjno-komunikacyjnej, zwanym dalej "wnioskiem o zapewnienie dostępności".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zapewnienie dostępności jest wnoszony do podmiotu publicznego, z którego działalnością jest związane żądanie zapewnienia dostępności zawarte we wniosku.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zapewnienie dostępności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kontaktowe wnioskodawcy;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 bariery utrudniającej lub uniemożliwiającej dostępność w zakresie architektonicznym lub informacyjno-komunikacyjnym;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sposobu kontaktu z wnioskodawcą;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wskazanie preferowanego sposobu zapewnienia dostępności, jeżeli dotyczy.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[Termin zapewnienia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Zapewnienie dostępności, w zakresie określonym we wniosku o zapewnienie dostępności, następuje bez zbędnej zwłoki nie później jednak niż w terminie </w:t>
      </w:r>
      <w:r>
        <w:rPr>
          <w:rFonts w:ascii="Times New Roman"/>
          <w:b/>
          <w:i w:val="false"/>
          <w:color w:val="000000"/>
          <w:sz w:val="24"/>
          <w:lang w:val="pl-Pl"/>
        </w:rPr>
        <w:t xml:space="preserve">14 </w:t>
      </w:r>
      <w:r>
        <w:rPr>
          <w:rFonts w:ascii="Times New Roman"/>
          <w:b w:val="false"/>
          <w:i w:val="false"/>
          <w:color w:val="000000"/>
          <w:sz w:val="24"/>
          <w:lang w:val="pl-Pl"/>
        </w:rPr>
        <w:t>dni od dnia złożenia wniosku o zapewnienie dostępności.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zapewnienie dostępności, w zakresie określonym we wniosku o zapewnienie dostępności, nie jest możliwe w terminie, o którym mowa w ust. 1, podmiot, o którym mowa w art. 30 ust. 2, niezwłocznie powiadamia wnioskodawcę o przyczynach opóźnienia i wskazuje nowy termin zapewnienia dostępności, nie dłuższy niż 2 miesiące od dnia złożenia wniosku o zapewnienie dostępności.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przypadkach uzasadnionych wyjątkowymi okolicznościami, gdy zapewnienie dostępności w zakresie określonym we wniosku o zapewnienie dostępności jest niemożliwe lub znacznie utrudnione, w szczególności ze względów technicznych lub prawnych, podmiot publiczny niezwłocznie zawiadamia wnioskodawcę o braku możliwości zapewnienia dostępności, co nie zwalnia podmiotu publicznego z obowiązku zapewnienia dostępu alternatywnego, o którym mowa w art. 7.</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zawiadomieniu, o którym mowa w ust. 3, podmiot publiczny uzasadnia swoje stanowisko, w szczególności wskazuje okoliczności uniemożliwiające zapewnienie dostępności w zakresie określonym we wniosku o zapewnienie dostępności.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postępowaniu w przedmiocie wniosku o zapewnienie dostępności nie stosuje się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z wyjątkiem przepisów dotyczących wyłączenia pracowników organu, doręczeń, sposobu obliczania terminów, uzupełniania braków formalnych i przekazywania wniosku zgodnie z właściwością.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[Skarga na brak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podmiot, o którym mowa w art. 30 ust. 2, nie zapewnił wnioskodawcy dostępności: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sposób i w terminie, o których mowa w art. 31 ust. 1,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określonym w art. 31 ust. 2,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powodów określonych w zawiadomieniu, o którym mowa w art. 31 ust. 3</w:t>
      </w:r>
    </w:p>
    <w:p>
      <w:pPr>
        <w:spacing w:before="25" w:after="0"/>
        <w:ind w:left="0"/>
        <w:jc w:val="both"/>
        <w:textAlignment w:val="auto"/>
      </w:pPr>
      <w:r>
        <w:rPr>
          <w:rFonts w:ascii="Times New Roman"/>
          <w:b w:val="false"/>
          <w:i w:val="false"/>
          <w:color w:val="000000"/>
          <w:sz w:val="24"/>
          <w:lang w:val="pl-Pl"/>
        </w:rPr>
        <w:t>- wnioskodawcy służy prawo złożenia skargi na brak dostępności, zwanej dalej "skargą".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Skargę wnosi się do Prezesa Zarządu PFRON, w terminie 30 dni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którym upłynął odpowiednio termin:</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określony w art. 31 ust. 1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wskazany w powiadomieniu, o którym mowa w art. 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otrzymania zawiadomienia, o którym mowa w art. 31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Skarga powinna spełniać wymagania formalne określone dla wniosku o zapewnienie dostępności, o których mowa w art. 30 ust. 3, z tym że w zakresie pkt 214 jest wystarczające załączenie do skargi kopii żądania zapewnienia dostępności.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Stronami postępowania wszczętego na skutek wniesienia skargi są skarżący oraz podmiot publiczny, którego działalności dotyczy treść skargi.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stwierdzenia, że niezapewnienie dostępności w zakresie żądanym przez skarżącego nastąpiło na skutek naruszenia przepisów ustawy, Prezes Zarządu PFRON nakazuje podmiotowi publicznemu, w drodze decyzji, zapewnienie dostępności, wraz z określeniem: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sposobu zapewnienia dostępności skarżącemu;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terminu realizacji nakazu, nie krótszego niż 30 dni, a w sprawach szczególnie skomplikowanych - nie krótszego niż 60 dni, od dnia doręczenia decyzji.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Zarządu PFRON, w drodze decyzji, odmawia nakazania podmiotowi publicznemu zapewnienia dostępności, w przypadku gdy podmiot publiczny wykaże, że nie zapewnił dostępności, w szczególności ze względów technicznych lub prawnych, a zapewnił dostęp alternatywny, o którym mowa w art. 7, a także gdy z innych względów skarga jest bezzasadna.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Postępowanie przed Prezesem Zarządu PFRON jest postępowaniem jednoinstancyjnym.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[Uzupełniające stosowanie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zakresie nieuregulowanym w niniejszej ustawie do postępowań w sprawach skarg stosuje się przepisy </w:t>
      </w:r>
      <w:r>
        <w:rPr>
          <w:rFonts w:ascii="Times New Roman"/>
          <w:b w:val="false"/>
          <w:i w:val="false"/>
          <w:color w:val="1b1b1b"/>
          <w:sz w:val="24"/>
          <w:lang w:val="pl-Pl"/>
        </w:rPr>
        <w:t>działów I</w:t>
      </w:r>
      <w:r>
        <w:rPr>
          <w:rFonts w:ascii="Times New Roman"/>
          <w:b w:val="false"/>
          <w:i w:val="false"/>
          <w:color w:val="000000"/>
          <w:sz w:val="24"/>
          <w:lang w:val="pl-Pl"/>
        </w:rPr>
        <w:t xml:space="preserve"> i </w:t>
      </w:r>
      <w:r>
        <w:rPr>
          <w:rFonts w:ascii="Times New Roman"/>
          <w:b w:val="false"/>
          <w:i w:val="false"/>
          <w:color w:val="1b1b1b"/>
          <w:sz w:val="24"/>
          <w:lang w:val="pl-Pl"/>
        </w:rPr>
        <w:t>II</w:t>
      </w:r>
      <w:r>
        <w:rPr>
          <w:rFonts w:ascii="Times New Roman"/>
          <w:b w:val="false"/>
          <w:i w:val="false"/>
          <w:color w:val="000000"/>
          <w:sz w:val="24"/>
          <w:lang w:val="pl-Pl"/>
        </w:rPr>
        <w:t xml:space="preserve"> ustawy z dnia 14 czerwca 1960 r. - Kodeks postępowania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[Grzywna w celu przymuszenia do wykonania nakazu zapewnienia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braku realizacji nakazu w terminie, o którym mowa w art. 32 ust. 5 pkt 2, stosuje się odpowiednio przepisy o postępowaniu egzekucyjnym w administracji dotyczące grzywny w celu przymuszenia.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Organem egzekucyjnym w zakresie grzywien w celu przymuszenia, o których mowa w ust. 1, jest naczelnik urzędu skarbowego właściwy miejscowo ze względu na siedzibę podmiotu, w stosunku do którego został wydany nakaz.</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uzyskane z grzywien, o których mowa w ust. 1, są przekazywane na rachunek Funduszu Dostępności, o którym mowa w art. 35.</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Fundusz Dostępności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[Status prawny, dysponent, przeznaczenie środków Funduszu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Fundusz Dostępności, zwany dalej "Funduszem", jest państwowym funduszem celowym,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Dysponentem Funduszu jest minister właściwy do spraw rozwoju regionalnego.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Funduszu przeznacza się na realizację zadań polegających na wsparciu działań w zakresie zapewniania dostępności osobom ze szczególnymi potrzebami lub jej poprawy, w szczególności w budynkach użyteczności publicznej oraz budynkach mieszkalnictwa wielorodzinnego.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[Środki Funduszu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Funduszu pochodzą: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ze środków, o których mowa w </w:t>
      </w:r>
      <w:r>
        <w:rPr>
          <w:rFonts w:ascii="Times New Roman"/>
          <w:b w:val="false"/>
          <w:i w:val="false"/>
          <w:color w:val="1b1b1b"/>
          <w:sz w:val="24"/>
          <w:lang w:val="pl-Pl"/>
        </w:rPr>
        <w:t>art. 29 ust. 1</w:t>
      </w:r>
      <w:r>
        <w:rPr>
          <w:rFonts w:ascii="Times New Roman"/>
          <w:b w:val="false"/>
          <w:i w:val="false"/>
          <w:color w:val="000000"/>
          <w:sz w:val="24"/>
          <w:lang w:val="pl-Pl"/>
        </w:rPr>
        <w:t xml:space="preserve"> ustawy z dnia 11 lipca 2014 r. o zasadach realizacji programów w zakresie polityki spójności finansowanych w perspektywie finansowej 2014-2020 (Dz. U. z 2018 r. poz. 1431 i 1544 oraz z 2019 r. poz. 60, 730 i 1572), z wyłączeniem środków, o których mowa w </w:t>
      </w:r>
      <w:r>
        <w:rPr>
          <w:rFonts w:ascii="Times New Roman"/>
          <w:b w:val="false"/>
          <w:i w:val="false"/>
          <w:color w:val="1b1b1b"/>
          <w:sz w:val="24"/>
          <w:lang w:val="pl-Pl"/>
        </w:rPr>
        <w:t>art. 29 ust. 4a</w:t>
      </w:r>
      <w:r>
        <w:rPr>
          <w:rFonts w:ascii="Times New Roman"/>
          <w:b w:val="false"/>
          <w:i w:val="false"/>
          <w:color w:val="000000"/>
          <w:sz w:val="24"/>
          <w:lang w:val="pl-Pl"/>
        </w:rPr>
        <w:t xml:space="preserve">, </w:t>
      </w:r>
      <w:r>
        <w:rPr>
          <w:rFonts w:ascii="Times New Roman"/>
          <w:b w:val="false"/>
          <w:i w:val="false"/>
          <w:color w:val="1b1b1b"/>
          <w:sz w:val="24"/>
          <w:lang w:val="pl-Pl"/>
        </w:rPr>
        <w:t>art. 29a ust. 1</w:t>
      </w:r>
      <w:r>
        <w:rPr>
          <w:rFonts w:ascii="Times New Roman"/>
          <w:b w:val="false"/>
          <w:i w:val="false"/>
          <w:color w:val="000000"/>
          <w:sz w:val="24"/>
          <w:lang w:val="pl-Pl"/>
        </w:rPr>
        <w:t xml:space="preserve"> i </w:t>
      </w:r>
      <w:r>
        <w:rPr>
          <w:rFonts w:ascii="Times New Roman"/>
          <w:b w:val="false"/>
          <w:i w:val="false"/>
          <w:color w:val="1b1b1b"/>
          <w:sz w:val="24"/>
          <w:lang w:val="pl-Pl"/>
        </w:rPr>
        <w:t>art. 98 ust. 1</w:t>
      </w:r>
      <w:r>
        <w:rPr>
          <w:rFonts w:ascii="Times New Roman"/>
          <w:b w:val="false"/>
          <w:i w:val="false"/>
          <w:color w:val="000000"/>
          <w:sz w:val="24"/>
          <w:lang w:val="pl-Pl"/>
        </w:rPr>
        <w:t xml:space="preserve"> tej ustawy, powierzonych w zarządzanie przez ministra właściwego do spraw rozwoju regionalnego;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wpływów z grzywien w celu przymuszenia, o których mowa w art. 34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dotacji z budżetu państwa;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odsetek z tytułu oprocentowania środków Funduszu;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odsetek od lokat środków Funduszu;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 wpłaty ze zwrotów wparcia udzielonego ze środków Funduszu, wraz z oprocentowaniem;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 ze środków Funduszu Solidarnościowego, o których mowa w </w:t>
      </w:r>
      <w:r>
        <w:rPr>
          <w:rFonts w:ascii="Times New Roman"/>
          <w:b w:val="false"/>
          <w:i w:val="false"/>
          <w:color w:val="1b1b1b"/>
          <w:sz w:val="24"/>
          <w:lang w:val="pl-Pl"/>
        </w:rPr>
        <w:t>art. 6a ust. 1</w:t>
      </w:r>
      <w:r>
        <w:rPr>
          <w:rFonts w:ascii="Times New Roman"/>
          <w:b w:val="false"/>
          <w:i w:val="false"/>
          <w:color w:val="000000"/>
          <w:sz w:val="24"/>
          <w:lang w:val="pl-Pl"/>
        </w:rPr>
        <w:t xml:space="preserve"> ustawy z dnia 23 października 2018 r. o Funduszu Solidarnościowym (Dz. U. poz. 2192 oraz z 2019 r. poz. 1622, 1696 i 2473), w wysokości określonej w rocznym planie finansowym tego funduszu;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 innych wpływów.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rozwoju regionalnego oraz minister właściwy do spraw zabezpieczenia społecznego mogą, na podstawie porozumienia, określać zadania finansowane w ramach Funduszu w danym roku budżetowym ze środków, o których mowa w ust. 1 pkt 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[Przekazywanie środków Funduszu Dostępności na rachunek BGK]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rozwoju regionalnego przekazuje na wyodrębniony rachunek bankowy w Banku Gospodarstwa Krajowego środki Funduszu na finansowanie: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pożyczek lub kredytów, w tym udzielanych na warunkach preferencyjnych;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pożyczek lub kredytów, z możliwością częściowego umorzenia;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kosztów związanych z udzielaniem i obsługą wsparcia, o którym mowa w pkt 1 i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Bank Gospodarstwa Krajowego zarządza środkami, o których mowa w ust. 1, oraz pełni funkcję koordynatora realizacji wsparcia, o którym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Podstawę przekazywania środków, o których mowa w ust. 1, stanowi umowa zawarta między ministrem właściwym do spraw rozwoju regionalnego a Bankiem Gospodarstwa Krajowego.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Umowa, o której mowa w ust. 3,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środków finansowych, o których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i tryb przekazywania środków finansowych;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zadania Banku Gospodarstwa Krajowego w zakresie koordynacji i realizacji wsparcia, w tym strategię inwestycyjną;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inwestowania środków;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sprawozdawczości i kontroli;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łączny limit i zasady wypłaty środków na wynagrodzenie za udzielanie i obsługę wsparcia.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Środki z tytułu spłaconych i zwróconych pożyczek lub kredytów oraz z tytułu ich oprocentowania są wykorzystywane na udzielanie kolejnych pożyczek lub kredytów, a także finansowanie kosztów związanych z ich obsługą.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[Zadania BGK w zakresie zarządzania przekazanymi środkami Funduszu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zadań Banku Gospodarstwa Krajowego w zakresie, o którym mowa w art. 37 ust. 2,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dokonywanie wyboru pośredników finansowych i zawieranie z nimi umów;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przekazywanie środków pośrednikom finansowym;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gromadzenie środków z tytułu spłat i zwrotu wsparcia;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monitorowanie realizacji wsparcia;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prowadzenie rozliczeń środków i sporządzanie sprawozdawczości dla ministra właściwego do spraw rozwoju regionalnego;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sprawowanie kontroli realizacji wsparcia przez pośredników finansowych.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[Udzielanie wsparcia ze środków Funduszu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Wsparcie, o którym mowa w art. 37 ust. 1, jest udzielane bezpośrednio przez Bank Gospodarstwa Krajowego lub wybranych przez niego pośredników finansowych.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Wsparcie, o którym mowa w art. 37 ust. 1, jest udzielane podmiotowi, w tym jednostce samorządu terytorialnego, który zamierza zrealizować inwestycję w celu zapewnienia dostępności osobom ze szczególnymi potrzebami lub jej poprawy, na podstawie umowy, która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szczegółowy cel inwestycji;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wypłaty i rozliczenia wsparcia;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formę wsparcia i warunki, na jakich zostało ono udzielone.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Wsparcie, o którym mowa w ust. 2, może stanowić pomoc publiczną lub pomoc de minimis.</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 którym mowa w ust. 3, podmiotem udzielającym pomocy jest Bank Gospodarstwa Krajowego lub wybrany przez niego pośrednik finansowy.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[Środki Funduszu Dostępności przekazane BGK jako koszty Funduszu]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Środki Funduszu przekazane zgodnie z art. 37 ust. 1 stanowią koszty Funduszu.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[Roczny plan finansowy Funduszu Dostępności]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Podstawą gospodarki finansowej Funduszu jest roczny plan finansowy, sporządzany na każdy rok budżetowy, w trybie i na zasadach określonych w ustawie z dnia 27 sierpnia 2009 r. o finansach publicznych.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Zmiany w przepisach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8 marca 1990 r. o samorządzie gminnym (Dz. U. z 2019 r. poz. 506, 1309 i 1571) w </w:t>
      </w:r>
      <w:r>
        <w:rPr>
          <w:rFonts w:ascii="Times New Roman"/>
          <w:b w:val="false"/>
          <w:i w:val="false"/>
          <w:color w:val="1b1b1b"/>
          <w:sz w:val="24"/>
          <w:lang w:val="pl-Pl"/>
        </w:rPr>
        <w:t>art. 5a</w:t>
      </w:r>
      <w:r>
        <w:rPr>
          <w:rFonts w:ascii="Times New Roman"/>
          <w:b w:val="false"/>
          <w:i w:val="false"/>
          <w:color w:val="000000"/>
          <w:sz w:val="24"/>
          <w:lang w:val="pl-Pl"/>
        </w:rPr>
        <w:t xml:space="preserve"> w ust. 7 pkt 1 otrzymuje brzmienie:</w:t>
      </w:r>
    </w:p>
    <w:p>
      <w:pPr>
        <w:spacing w:before="25" w:after="0"/>
        <w:ind w:left="0"/>
        <w:jc w:val="both"/>
        <w:textAlignment w:val="auto"/>
      </w:pPr>
      <w:r>
        <w:rPr>
          <w:rFonts w:ascii="Times New Roman"/>
          <w:b w:val="false"/>
          <w:i w:val="false"/>
          <w:color w:val="000000"/>
          <w:sz w:val="24"/>
          <w:lang w:val="pl-Pl"/>
        </w:rPr>
        <w:t>"1) wymogi formalne, jakim powinny odpowiadać zgłaszane projekty z uwzględnieniem - o ile jest to możliwe - uniwersalnego projektowania, o którym mowa w art. 2 pkt 4 ustawy z dnia 19 lipca 2019 r. o zapewnianiu dostępności osobom ze szczególnymi potrzebami (Dz. U. poz. 1696);".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25 października 1991 r. o organizowaniu i prowadzeniu działalności kulturalnej (Dz. U. z 2018 r. poz. 1983 oraz z 2019 r. poz. 115 i 730)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5</w:t>
      </w:r>
      <w:r>
        <w:rPr>
          <w:rFonts w:ascii="Times New Roman"/>
          <w:b w:val="false"/>
          <w:i w:val="false"/>
          <w:color w:val="000000"/>
          <w:sz w:val="24"/>
          <w:lang w:val="pl-Pl"/>
        </w:rPr>
        <w:t xml:space="preserve"> dodaje się ust. 3 w brzmieniu:</w:t>
      </w:r>
    </w:p>
    <w:p>
      <w:pPr>
        <w:spacing w:before="25" w:after="0"/>
        <w:ind w:left="373"/>
        <w:jc w:val="both"/>
        <w:textAlignment w:val="auto"/>
      </w:pPr>
      <w:r>
        <w:rPr>
          <w:rFonts w:ascii="Times New Roman"/>
          <w:b w:val="false"/>
          <w:i w:val="false"/>
          <w:color w:val="000000"/>
          <w:sz w:val="24"/>
          <w:lang w:val="pl-Pl"/>
        </w:rPr>
        <w:t>"3. Podmioty prowadzące działalność kulturalną składające wniosek o dotacje, o których mowa w ust. 2, art. 9 ust. 3 i art. 28 ust. 1b, przedstawiają, w jaki sposób wykorzystanie środków z dotacji będzie uwzględniało zapewnienie dostępności osobom ze szczególnymi potrzebami, o których mowa w ustawie z dnia 19 lipca 2019 r. o zapewnianiu dostępności osobom ze szczególnymi potrzebami (Dz. U. poz. 1696).";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art. 9a dodaje się art. 9b w brzmieniu:</w:t>
      </w:r>
    </w:p>
    <w:p>
      <w:pPr>
        <w:spacing w:before="25" w:after="0"/>
        <w:ind w:left="373"/>
        <w:jc w:val="both"/>
        <w:textAlignment w:val="auto"/>
      </w:pPr>
      <w:r>
        <w:rPr>
          <w:rFonts w:ascii="Times New Roman"/>
          <w:b w:val="false"/>
          <w:i w:val="false"/>
          <w:color w:val="000000"/>
          <w:sz w:val="24"/>
          <w:lang w:val="pl-Pl"/>
        </w:rPr>
        <w:t>"Art. 9b. Minister właściwy do spraw kultury i ochrony dziedzictwa narodowego wskazuje programy określające cele przeznaczenia środków finansowych z budżetu państwa na priorytetowe zadania w danym roku kalendarzowym, w których wnioski o udzielenie dotacji wymagają przedstawienia sposobu wykorzystania środków z dotacji na zapewnienie dostępności osobom ze szczególnymi potrzebami, o których mowa w ustawie z dnia 19 lipca 2019 r. o zapewnianiu dostępności osobom ze szczególnymi potrzebami.";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34</w:t>
      </w:r>
      <w:r>
        <w:rPr>
          <w:rFonts w:ascii="Times New Roman"/>
          <w:b w:val="false"/>
          <w:i w:val="false"/>
          <w:color w:val="000000"/>
          <w:sz w:val="24"/>
          <w:lang w:val="pl-Pl"/>
        </w:rPr>
        <w:t xml:space="preserve"> w ust. 2 w pkt 4 kropkę zastępuje się średnikiem i dodaje się pkt 5 w brzmieniu:</w:t>
      </w:r>
    </w:p>
    <w:p>
      <w:pPr>
        <w:spacing w:before="25" w:after="0"/>
        <w:ind w:left="373"/>
        <w:jc w:val="both"/>
        <w:textAlignment w:val="auto"/>
      </w:pPr>
      <w:r>
        <w:rPr>
          <w:rFonts w:ascii="Times New Roman"/>
          <w:b w:val="false"/>
          <w:i w:val="false"/>
          <w:color w:val="000000"/>
          <w:sz w:val="24"/>
          <w:lang w:val="pl-Pl"/>
        </w:rPr>
        <w:t>"5) określenie planowanych działań w zakresie dostosowania imprezy dla osób ze szczególnymi potrzebami, z uwzględnieniem, w razie potrzeby, racjonalnych usprawnień, o których mowa w art. 2 pkt 5 ustawy z dnia 19 lipca 2019 r. o zapewnianiu dostępności osobom ze szczególnymi potrzebami.".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7 lipca 1994 r. - Prawo budowlane (Dz. U. z 2019 r. poz. 1186, 1309 i 1524)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7</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 pkt 1 otrzymuje brzmienie:</w:t>
      </w:r>
    </w:p>
    <w:p>
      <w:pPr>
        <w:spacing w:before="25" w:after="0"/>
        <w:ind w:left="746"/>
        <w:jc w:val="both"/>
        <w:textAlignment w:val="auto"/>
      </w:pPr>
      <w:r>
        <w:rPr>
          <w:rFonts w:ascii="Times New Roman"/>
          <w:b w:val="false"/>
          <w:i w:val="false"/>
          <w:color w:val="000000"/>
          <w:sz w:val="24"/>
          <w:lang w:val="pl-Pl"/>
        </w:rPr>
        <w:t>"1) warunki techniczne, jakim powinny odpowiadać obiekty budowlane i ich usytuowanie;",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dodaje się ust. 4 w brzmieniu:</w:t>
      </w:r>
    </w:p>
    <w:p>
      <w:pPr>
        <w:spacing w:before="25" w:after="0"/>
        <w:ind w:left="746"/>
        <w:jc w:val="both"/>
        <w:textAlignment w:val="auto"/>
      </w:pPr>
      <w:r>
        <w:rPr>
          <w:rFonts w:ascii="Times New Roman"/>
          <w:b w:val="false"/>
          <w:i w:val="false"/>
          <w:color w:val="000000"/>
          <w:sz w:val="24"/>
          <w:lang w:val="pl-Pl"/>
        </w:rPr>
        <w:t>"4. Właściwi ministrowie, określając warunki techniczne, o których mowa w ust. 1, uwzględniają wymagania, o których mowa w art. 5 ust. 1 2b. oraz potrzeby osób ze szczególnymi potrzebami, o których mowa w ustawie z dnia 19 lipca 2019 r. o zapewnianiu dostępności osobom ze szczególnymi potrzebami (Dz. U. poz. 1696).";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34</w:t>
      </w:r>
      <w:r>
        <w:rPr>
          <w:rFonts w:ascii="Times New Roman"/>
          <w:b w:val="false"/>
          <w:i w:val="false"/>
          <w:color w:val="000000"/>
          <w:sz w:val="24"/>
          <w:lang w:val="pl-Pl"/>
        </w:rPr>
        <w:t xml:space="preserve"> ust. 2 otrzymuje brzmienie:</w:t>
      </w:r>
    </w:p>
    <w:p>
      <w:pPr>
        <w:spacing w:before="25" w:after="0"/>
        <w:ind w:left="373"/>
        <w:jc w:val="both"/>
        <w:textAlignment w:val="auto"/>
      </w:pPr>
      <w:r>
        <w:rPr>
          <w:rFonts w:ascii="Times New Roman"/>
          <w:b w:val="false"/>
          <w:i w:val="false"/>
          <w:color w:val="000000"/>
          <w:sz w:val="24"/>
          <w:lang w:val="pl-Pl"/>
        </w:rPr>
        <w:t>"2. Zakres i treść projektu budowlanego powinny być dostosowane do specyfiki i charakteru obiektu, stopnia skomplikowania robót budowlanych oraz w zależności od przeznaczenia projektowanego obiektu określać niezbędne warunki do korzystania z obiektu przez osoby ze szczególnymi potrzebami, o których mowa w ustawie z dnia 19 lipca 2019 r. o zapewnianiu dostępności osobom ze szczególnymi potrzebami.".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1997 r. o rehabilitacji zawodowej i społecznej oraz zatrudnianiu osób niepełnosprawnych (Dz. U. z 2019 r. poz. 1172 i 1495)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21</w:t>
      </w:r>
      <w:r>
        <w:rPr>
          <w:rFonts w:ascii="Times New Roman"/>
          <w:b w:val="false"/>
          <w:i w:val="false"/>
          <w:color w:val="000000"/>
          <w:sz w:val="24"/>
          <w:lang w:val="pl-Pl"/>
        </w:rPr>
        <w:t xml:space="preserve"> po ust. 1 dodaje się ust. 1a w brzmieniu:</w:t>
      </w:r>
    </w:p>
    <w:p>
      <w:pPr>
        <w:spacing w:before="25" w:after="0"/>
        <w:ind w:left="373"/>
        <w:jc w:val="both"/>
        <w:textAlignment w:val="auto"/>
      </w:pPr>
      <w:r>
        <w:rPr>
          <w:rFonts w:ascii="Times New Roman"/>
          <w:b w:val="false"/>
          <w:i w:val="false"/>
          <w:color w:val="000000"/>
          <w:sz w:val="24"/>
          <w:lang w:val="pl-Pl"/>
        </w:rPr>
        <w:t>"1a. Wpłaty, o których mowa w ust. 1, ulegają obniżeniu o 5% dla pracodawcy innego niż podmiot publiczny, o którym mowa w ustawie z dnia 19 lipca 2019 r. o zapewnianiu dostępności osobom ze szczególnymi potrzebami (Dz. U. poz. 1696), posiadającego certyfikat, o którym mowa w art. 19 ust. 1 tej ustawy, począwszy od pierwszego dnia miesiąca następującego po miesiącu, w którym pracodawca ten zawiadomił Zarząd Funduszu o uzyskaniu certyfikatu dostępności w sposób, o którym mowa w ust. 2f</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35a</w:t>
      </w:r>
      <w:r>
        <w:rPr>
          <w:rFonts w:ascii="Times New Roman"/>
          <w:b w:val="false"/>
          <w:i w:val="false"/>
          <w:color w:val="000000"/>
          <w:sz w:val="24"/>
          <w:lang w:val="pl-Pl"/>
        </w:rPr>
        <w:t xml:space="preserve"> w ust. 1 w pkt 7 w lit. f średnik zastępuje się przecinkiem i dodaje się lit. g w brzmieniu:</w:t>
      </w:r>
    </w:p>
    <w:p>
      <w:pPr>
        <w:spacing w:before="25" w:after="0"/>
        <w:ind w:left="373"/>
        <w:jc w:val="both"/>
        <w:textAlignment w:val="auto"/>
      </w:pPr>
      <w:r>
        <w:rPr>
          <w:rFonts w:ascii="Times New Roman"/>
          <w:b w:val="false"/>
          <w:i w:val="false"/>
          <w:color w:val="000000"/>
          <w:sz w:val="24"/>
          <w:lang w:val="pl-Pl"/>
        </w:rPr>
        <w:t>"g) zmiany samodzielnego lokalu mieszkalnego, o którym mowa w przepisach ustawy z dnia 24 czerwca 1994 r. o własności lokali (Dz. U. z 2019 r. poz. 737, 1309 i 1469), dotychczas zajmowanego przez osobę niepełnosprawną, w sytuacji braku możliwości zastosowania w tym lokalu racjonalnych usprawnień, o których mowa w ustawie z dnia 19 lipca 2019 r. o zapewnianiu dostępności osobom ze szczególnymi potrzebami, odpowiednich do rodzaju niepełnosprawności lub jeżeli ich zastosowanie byłoby nieracjonalne ekonomicznie;";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50</w:t>
      </w:r>
      <w:r>
        <w:rPr>
          <w:rFonts w:ascii="Times New Roman"/>
          <w:b w:val="false"/>
          <w:i w:val="false"/>
          <w:color w:val="000000"/>
          <w:sz w:val="24"/>
          <w:lang w:val="pl-Pl"/>
        </w:rPr>
        <w:t xml:space="preserve"> w ust. 2 po pkt 1a dodaje się pkt 1b w brzmieniu:</w:t>
      </w:r>
    </w:p>
    <w:p>
      <w:pPr>
        <w:spacing w:before="25" w:after="0"/>
        <w:ind w:left="373"/>
        <w:jc w:val="both"/>
        <w:textAlignment w:val="auto"/>
      </w:pPr>
      <w:r>
        <w:rPr>
          <w:rFonts w:ascii="Times New Roman"/>
          <w:b w:val="false"/>
          <w:i w:val="false"/>
          <w:color w:val="000000"/>
          <w:sz w:val="24"/>
          <w:lang w:val="pl-Pl"/>
        </w:rPr>
        <w:t>"1b) przedstawiciela ministra właściwego do spraw rozwoju regionalnego;".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 Prawo bankowe (Dz. U. z 2018 r. poz. 2187, z późn. zm.)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109</w:t>
      </w:r>
      <w:r>
        <w:rPr>
          <w:rFonts w:ascii="Times New Roman"/>
          <w:b w:val="false"/>
          <w:i w:val="false"/>
          <w:color w:val="000000"/>
          <w:sz w:val="24"/>
          <w:lang w:val="pl-Pl"/>
        </w:rPr>
        <w:t xml:space="preserve"> dodaje się ust. 3 i 4 w brzmieniu:</w:t>
      </w:r>
    </w:p>
    <w:p>
      <w:pPr>
        <w:spacing w:before="25" w:after="0"/>
        <w:ind w:left="373"/>
        <w:jc w:val="both"/>
        <w:textAlignment w:val="auto"/>
      </w:pPr>
      <w:r>
        <w:rPr>
          <w:rFonts w:ascii="Times New Roman"/>
          <w:b w:val="false"/>
          <w:i w:val="false"/>
          <w:color w:val="000000"/>
          <w:sz w:val="24"/>
          <w:lang w:val="pl-Pl"/>
        </w:rPr>
        <w:t>"3. Osoba ze szczególnymi potrzebami, o której mowa w ustawie z dnia 19 lipca 2019 r. o zapewnianiu dostępności osobom ze szczególnymi potrzebami (Dz. U. poz. 1696), ma prawo otrzymania ogólnych warunków umów oraz regulaminów w formach, takich jak nagranie audio, nagranie wizualne treści w polskim języku migowym, wydruk w alfabecie Braille'a lub wydruk z wielkością czcionki wygodną do czytania, w terminie 7 dni od zgłoszenia takiej potrzeby.</w:t>
      </w:r>
    </w:p>
    <w:p>
      <w:pPr>
        <w:spacing w:before="25" w:after="0"/>
        <w:ind w:left="373"/>
        <w:jc w:val="both"/>
        <w:textAlignment w:val="auto"/>
      </w:pPr>
      <w:r>
        <w:rPr>
          <w:rFonts w:ascii="Times New Roman"/>
          <w:b w:val="false"/>
          <w:i w:val="false"/>
          <w:color w:val="000000"/>
          <w:sz w:val="24"/>
          <w:lang w:val="pl-Pl"/>
        </w:rPr>
        <w:t>4. Treść ogólnych warunków umów oraz regulaminów udostępnia się odpowiednio w formach dostępnych dla osób ze szczególnymi potrzebami, o których mowa w ustawie z dnia 19 lipca 2019 r. o zapewnianiu dostępności osobom ze szczególnymi potrzebami, w tym przez system bankowości elektronicznej.";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111</w:t>
      </w:r>
      <w:r>
        <w:rPr>
          <w:rFonts w:ascii="Times New Roman"/>
          <w:b w:val="false"/>
          <w:i w:val="false"/>
          <w:color w:val="000000"/>
          <w:sz w:val="24"/>
          <w:lang w:val="pl-Pl"/>
        </w:rPr>
        <w:t xml:space="preserve"> dodaje się ust. 3 w brzmieniu:</w:t>
      </w:r>
    </w:p>
    <w:p>
      <w:pPr>
        <w:spacing w:before="25" w:after="0"/>
        <w:ind w:left="373"/>
        <w:jc w:val="both"/>
        <w:textAlignment w:val="auto"/>
      </w:pPr>
      <w:r>
        <w:rPr>
          <w:rFonts w:ascii="Times New Roman"/>
          <w:b w:val="false"/>
          <w:i w:val="false"/>
          <w:color w:val="000000"/>
          <w:sz w:val="24"/>
          <w:lang w:val="pl-Pl"/>
        </w:rPr>
        <w:t>"3. Osoba ze szczególnymi potrzebami, o której mowa w ustawie z dnia 19 lipca 2019 r. o zapewnianiu dostępności osobom ze szczególnymi potrzebami, ma prawo otrzymania informacji, o których mowa w ust. 1 i 2, w formach takich jak nagranie audio, nagranie wizualne treści w polskim języku migowym, wydruk w alfabecie Braille'a lub wydruk z wielkością czcionki wygodną do czytania, w terminie 7 dni od zgłoszenia takiej potrzeby.".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4 września 1997 r. o działach administracji rządowej (Dz. U. z 2019 r. poz. 945 i 1248) w </w:t>
      </w:r>
      <w:r>
        <w:rPr>
          <w:rFonts w:ascii="Times New Roman"/>
          <w:b w:val="false"/>
          <w:i w:val="false"/>
          <w:color w:val="1b1b1b"/>
          <w:sz w:val="24"/>
          <w:lang w:val="pl-Pl"/>
        </w:rPr>
        <w:t>art. 23a</w:t>
      </w:r>
      <w:r>
        <w:rPr>
          <w:rFonts w:ascii="Times New Roman"/>
          <w:b w:val="false"/>
          <w:i w:val="false"/>
          <w:color w:val="000000"/>
          <w:sz w:val="24"/>
          <w:lang w:val="pl-Pl"/>
        </w:rPr>
        <w:t xml:space="preserve"> w pkt 11 kropkę zastępuje się średnikiem i dodaje się pkt 12 w brzmieniu:</w:t>
      </w:r>
    </w:p>
    <w:p>
      <w:pPr>
        <w:spacing w:before="25" w:after="0"/>
        <w:ind w:left="0"/>
        <w:jc w:val="both"/>
        <w:textAlignment w:val="auto"/>
      </w:pPr>
      <w:r>
        <w:rPr>
          <w:rFonts w:ascii="Times New Roman"/>
          <w:b w:val="false"/>
          <w:i w:val="false"/>
          <w:color w:val="000000"/>
          <w:sz w:val="24"/>
          <w:lang w:val="pl-Pl"/>
        </w:rPr>
        <w:t>"12) koordynacji, o ile ustawa nie stanowi inaczej, zapewniania dostępności osobom ze szczególnymi potrzebami.".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marca 2003 r. o planowaniu i zagospodarowaniu przestrzennym (Dz. U. z 2018 r. poz. 1945 oraz z 2019 r. poz. 60, 235, 730, 1009 i 1524)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1</w:t>
      </w:r>
      <w:r>
        <w:rPr>
          <w:rFonts w:ascii="Times New Roman"/>
          <w:b w:val="false"/>
          <w:i w:val="false"/>
          <w:color w:val="000000"/>
          <w:sz w:val="24"/>
          <w:lang w:val="pl-Pl"/>
        </w:rPr>
        <w:t xml:space="preserve"> w ust. 2 pkt 5 otrzymuje brzmienie:</w:t>
      </w:r>
    </w:p>
    <w:p>
      <w:pPr>
        <w:spacing w:before="25" w:after="0"/>
        <w:ind w:left="373"/>
        <w:jc w:val="both"/>
        <w:textAlignment w:val="auto"/>
      </w:pPr>
      <w:r>
        <w:rPr>
          <w:rFonts w:ascii="Times New Roman"/>
          <w:b w:val="false"/>
          <w:i w:val="false"/>
          <w:color w:val="000000"/>
          <w:sz w:val="24"/>
          <w:lang w:val="pl-Pl"/>
        </w:rPr>
        <w:t>"5) wymagania ochrony zdrowia oraz bezpieczeństwa ludzi i mienia, a także potrzeby osób ze szczególnymi potrzebami, o których mowa w ustawie z dnia 19 lipca 2019 r. o zapewnianiu dostępności osobom ze szczególnymi potrzebami (Dz. U. poz. 1696);";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2</w:t>
      </w:r>
      <w:r>
        <w:rPr>
          <w:rFonts w:ascii="Times New Roman"/>
          <w:b w:val="false"/>
          <w:i w:val="false"/>
          <w:color w:val="000000"/>
          <w:sz w:val="24"/>
          <w:lang w:val="pl-Pl"/>
        </w:rPr>
        <w:t xml:space="preserve"> w pkt 19 kropkę zastępuje się średnikiem i dodaje się pkt 20 w brzmieniu:</w:t>
      </w:r>
    </w:p>
    <w:p>
      <w:pPr>
        <w:spacing w:before="25" w:after="0"/>
        <w:ind w:left="373"/>
        <w:jc w:val="both"/>
        <w:textAlignment w:val="auto"/>
      </w:pPr>
      <w:r>
        <w:rPr>
          <w:rFonts w:ascii="Times New Roman"/>
          <w:b w:val="false"/>
          <w:i w:val="false"/>
          <w:color w:val="000000"/>
          <w:sz w:val="24"/>
          <w:lang w:val="pl-Pl"/>
        </w:rPr>
        <w:t>"20) "uniwersalnym projektowaniu" - należy przez to rozumieć uniwersalne projektowanie, o którym mowa w art. 2 pkt 4 ustawy z dnia 19 lipca 2019 r. o zapewnianiu dostępności osobom ze szczególnymi potrzebami.";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10</w:t>
      </w:r>
      <w:r>
        <w:rPr>
          <w:rFonts w:ascii="Times New Roman"/>
          <w:b w:val="false"/>
          <w:i w:val="false"/>
          <w:color w:val="000000"/>
          <w:sz w:val="24"/>
          <w:lang w:val="pl-Pl"/>
        </w:rPr>
        <w:t xml:space="preserve"> w ust. 1 pkt 5 otrzymuje brzmienie:</w:t>
      </w:r>
    </w:p>
    <w:p>
      <w:pPr>
        <w:spacing w:before="25" w:after="0"/>
        <w:ind w:left="373"/>
        <w:jc w:val="both"/>
        <w:textAlignment w:val="auto"/>
      </w:pPr>
      <w:r>
        <w:rPr>
          <w:rFonts w:ascii="Times New Roman"/>
          <w:b w:val="false"/>
          <w:i w:val="false"/>
          <w:color w:val="000000"/>
          <w:sz w:val="24"/>
          <w:lang w:val="pl-Pl"/>
        </w:rPr>
        <w:t>"5) warunków i jakości życia mieszkańców, w tym ochrony ich zdrowia, oraz zapewnienia dostępności osobom ze szczególnymi potrzebami, o których mowa w ustawie z dnia 19 lipca 2019 r. o zapewnianiu dostępności osobom ze szczególnymi potrzebami, zgodnie z uniwersalnym projektowaniem;";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15</w:t>
      </w:r>
      <w:r>
        <w:rPr>
          <w:rFonts w:ascii="Times New Roman"/>
          <w:b w:val="false"/>
          <w:i w:val="false"/>
          <w:color w:val="000000"/>
          <w:sz w:val="24"/>
          <w:lang w:val="pl-Pl"/>
        </w:rPr>
        <w:t xml:space="preserve"> w ust. 1 pkt 2 otrzymuje brzmienie:</w:t>
      </w:r>
    </w:p>
    <w:p>
      <w:pPr>
        <w:spacing w:before="25" w:after="0"/>
        <w:ind w:left="373"/>
        <w:jc w:val="both"/>
        <w:textAlignment w:val="auto"/>
      </w:pPr>
      <w:r>
        <w:rPr>
          <w:rFonts w:ascii="Times New Roman"/>
          <w:b w:val="false"/>
          <w:i w:val="false"/>
          <w:color w:val="000000"/>
          <w:sz w:val="24"/>
          <w:lang w:val="pl-Pl"/>
        </w:rPr>
        <w:t>"2) zgodność z wynikami analizy, o której mowa w art. 32 ust. 1, wraz z datą uchwały rady gminy, o której mowa w art. 32 ust. 2, oraz sposób uwzględnienia uniwersalnego projektowania;";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w:t>
      </w:r>
      <w:r>
        <w:rPr>
          <w:rFonts w:ascii="Times New Roman"/>
          <w:b w:val="false"/>
          <w:i w:val="false"/>
          <w:color w:val="1b1b1b"/>
          <w:sz w:val="24"/>
          <w:lang w:val="pl-Pl"/>
        </w:rPr>
        <w:t>art. 30</w:t>
      </w:r>
      <w:r>
        <w:rPr>
          <w:rFonts w:ascii="Times New Roman"/>
          <w:b w:val="false"/>
          <w:i w:val="false"/>
          <w:color w:val="000000"/>
          <w:sz w:val="24"/>
          <w:lang w:val="pl-Pl"/>
        </w:rPr>
        <w:t xml:space="preserve"> po ust. 1 dodaje się ust. 1a w brzmieniu:</w:t>
      </w:r>
    </w:p>
    <w:p>
      <w:pPr>
        <w:spacing w:before="25" w:after="0"/>
        <w:ind w:left="373"/>
        <w:jc w:val="both"/>
        <w:textAlignment w:val="auto"/>
      </w:pPr>
      <w:r>
        <w:rPr>
          <w:rFonts w:ascii="Times New Roman"/>
          <w:b w:val="false"/>
          <w:i w:val="false"/>
          <w:color w:val="000000"/>
          <w:sz w:val="24"/>
          <w:lang w:val="pl-Pl"/>
        </w:rPr>
        <w:t>"1a. Osoba ze szczególnymi potrzebami, o której mowa w ustawie z dnia 19 lipca 2019 r. o zapewnianiu dostępności osobom ze szczególnymi potrzebami, ma prawo do zapoznania się z treścią studium i planu miejscowego w zrozumiały dla niej sposób w terminie 14 dni od dnia zgłoszenia wniosku o udostępnienie treści studium lub planu miejscowego, w szczególności z wykorzystaniem środków wspierających komunikowanie się, o których mowa w art. 3 pkt 5 ustawy z dnia 19 sierpnia 2011 r. o języku migowym i innych środkach komunikowania się (Dz. U. z 2017 r. poz. 1824).".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lipca 2003 r. o ochronie zabytków i opiece nad zabytkami (Dz. U. z 2018 r. poz. 2067 i 2245 oraz z 2019 r. poz. 730) w </w:t>
      </w:r>
      <w:r>
        <w:rPr>
          <w:rFonts w:ascii="Times New Roman"/>
          <w:b w:val="false"/>
          <w:i w:val="false"/>
          <w:color w:val="1b1b1b"/>
          <w:sz w:val="24"/>
          <w:lang w:val="pl-Pl"/>
        </w:rPr>
        <w:t>art. 25</w:t>
      </w:r>
      <w:r>
        <w:rPr>
          <w:rFonts w:ascii="Times New Roman"/>
          <w:b w:val="false"/>
          <w:i w:val="false"/>
          <w:color w:val="000000"/>
          <w:sz w:val="24"/>
          <w:lang w:val="pl-Pl"/>
        </w:rPr>
        <w:t xml:space="preserve"> w ust. 1 pkt 1 otrzymuje brzmienie:</w:t>
      </w:r>
    </w:p>
    <w:p>
      <w:pPr>
        <w:spacing w:before="25" w:after="0"/>
        <w:ind w:left="0"/>
        <w:jc w:val="both"/>
        <w:textAlignment w:val="auto"/>
      </w:pPr>
      <w:r>
        <w:rPr>
          <w:rFonts w:ascii="Times New Roman"/>
          <w:b w:val="false"/>
          <w:i w:val="false"/>
          <w:color w:val="000000"/>
          <w:sz w:val="24"/>
          <w:lang w:val="pl-Pl"/>
        </w:rPr>
        <w:t>"1) dokumentacji konserwatorskiej określającej stan zachowania zabytku nieruchomego i możliwości jego adaptacji, z uwzględnieniem historycznej funkcji i wartości tego zabytku, jak również możliwości jego dostosowania dla osób ze szczególnymi potrzebami, o których mowa w ustawie z dnia 19 lipca 2019 r. o zapewnianiu dostępności osobom ze szczególnymi potrzebami (Dz. U. poz. 1696);".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kwietnia 2004 r. o ochronie przyrody (Dz. U. z 2018 r. poz. 1614, 2244 i 2340) w </w:t>
      </w:r>
      <w:r>
        <w:rPr>
          <w:rFonts w:ascii="Times New Roman"/>
          <w:b w:val="false"/>
          <w:i w:val="false"/>
          <w:color w:val="1b1b1b"/>
          <w:sz w:val="24"/>
          <w:lang w:val="pl-Pl"/>
        </w:rPr>
        <w:t>art. 4</w:t>
      </w:r>
      <w:r>
        <w:rPr>
          <w:rFonts w:ascii="Times New Roman"/>
          <w:b w:val="false"/>
          <w:i w:val="false"/>
          <w:color w:val="000000"/>
          <w:sz w:val="24"/>
          <w:lang w:val="pl-Pl"/>
        </w:rPr>
        <w:t xml:space="preserve"> dodaje się ust. 4 w brzmieniu:</w:t>
      </w:r>
    </w:p>
    <w:p>
      <w:pPr>
        <w:spacing w:before="25" w:after="0"/>
        <w:ind w:left="0"/>
        <w:jc w:val="both"/>
        <w:textAlignment w:val="auto"/>
      </w:pPr>
      <w:r>
        <w:rPr>
          <w:rFonts w:ascii="Times New Roman"/>
          <w:b w:val="false"/>
          <w:i w:val="false"/>
          <w:color w:val="000000"/>
          <w:sz w:val="24"/>
          <w:lang w:val="pl-Pl"/>
        </w:rPr>
        <w:t>"4. Organy administracji publicznej zapewniają dostępność, o której mowa w ustawie z dnia 19 lipca 2019 r. o zapewnianiu dostępności osobom ze szczególnymi potrzebami (Dz. U. poz. 1696), form ochrony przyrody, o których mowa w art. 6, dla osób ze szczególnymi potrzebami, o których mowa w tej ustawie, biorąc pod uwagę ograniczenia wynikające z potrzeb ochrony przyrody oraz uwarunkowania terenowe.".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listopada 2008 r. o prawach pacjenta i Rzeczniku Praw Pacjenta (Dz. U. z 2019 r. poz. 1127, 1128, 1590 i 1655) w </w:t>
      </w:r>
      <w:r>
        <w:rPr>
          <w:rFonts w:ascii="Times New Roman"/>
          <w:b w:val="false"/>
          <w:i w:val="false"/>
          <w:color w:val="1b1b1b"/>
          <w:sz w:val="24"/>
          <w:lang w:val="pl-Pl"/>
        </w:rPr>
        <w:t>art. 12</w:t>
      </w:r>
      <w:r>
        <w:rPr>
          <w:rFonts w:ascii="Times New Roman"/>
          <w:b w:val="false"/>
          <w:i w:val="false"/>
          <w:color w:val="000000"/>
          <w:sz w:val="24"/>
          <w:lang w:val="pl-Pl"/>
        </w:rPr>
        <w:t xml:space="preserve"> dotychczasową treść oznacza się jako ust. 1 i dodaje się ust. 2 w brzmieniu:</w:t>
      </w:r>
    </w:p>
    <w:p>
      <w:pPr>
        <w:spacing w:before="25" w:after="0"/>
        <w:ind w:left="0"/>
        <w:jc w:val="both"/>
        <w:textAlignment w:val="auto"/>
      </w:pPr>
      <w:r>
        <w:rPr>
          <w:rFonts w:ascii="Times New Roman"/>
          <w:b w:val="false"/>
          <w:i w:val="false"/>
          <w:color w:val="000000"/>
          <w:sz w:val="24"/>
          <w:lang w:val="pl-Pl"/>
        </w:rPr>
        <w:t>"2. Pacjent będący osobą ze szczególnymi potrzebami, o której mowa w ustawie z dnia 19 lipca 2019 r. o zapewnianiu dostępności osobom ze szczególnymi potrzebami (Dz. U. poz. 1696), ma prawo do otrzymania informacji, o których mowa w ust. 1 oraz w art. 9-11, w zrozumiały dla niego sposób, w szczególności z wykorzystaniem środków wspierających komunikowanie się, o których mowa w art. 3 ust. 5 ustawy z dnia 19 sierpnia 2011 r. o języku migowym i innych środkach komunikowania się (Dz. U. z 2017 r. poz. 1824).".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grudnia 2010 r. o publicznym transporcie zbiorowym (Dz. U. z 2018 r. poz. 2016 i 2435 oraz z 2019 r. poz. 730 i 1495) w art. 21: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ust. 1 pkt 2 otrzymuje brzmienie:</w:t>
      </w:r>
    </w:p>
    <w:p>
      <w:pPr>
        <w:spacing w:before="25" w:after="0"/>
        <w:ind w:left="373"/>
        <w:jc w:val="both"/>
        <w:textAlignment w:val="auto"/>
      </w:pPr>
      <w:r>
        <w:rPr>
          <w:rFonts w:ascii="Times New Roman"/>
          <w:b w:val="false"/>
          <w:i w:val="false"/>
          <w:color w:val="000000"/>
          <w:sz w:val="24"/>
          <w:lang w:val="pl-Pl"/>
        </w:rPr>
        <w:t>"2) rozwiązania techniczne zastosowane w środkach transportu służące zwłaszcza zapewnieniu ochrony środowiska oraz dogodnej obsługi pasażerów;";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ust. 1 dodaje się ust. 1a w brzmieniu:</w:t>
      </w:r>
    </w:p>
    <w:p>
      <w:pPr>
        <w:spacing w:before="25" w:after="0"/>
        <w:ind w:left="373"/>
        <w:jc w:val="both"/>
        <w:textAlignment w:val="auto"/>
      </w:pPr>
      <w:r>
        <w:rPr>
          <w:rFonts w:ascii="Times New Roman"/>
          <w:b w:val="false"/>
          <w:i w:val="false"/>
          <w:color w:val="000000"/>
          <w:sz w:val="24"/>
          <w:lang w:val="pl-Pl"/>
        </w:rPr>
        <w:t>"1a. Przy udzielaniu zamówienia publicznego na wykonywanie publicznego transportu zbiorowego, w specyfikacji istotnych warunków zamówienia uwzględnia się konieczność zapewnienia w środkach transportu rozwiązań technicznych służących zapewnieniu ich dostępności dla osób niepełnosprawnych i osób o ograniczonej zdolności ruchowej.".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9 października 2015 r. o rewitalizacji (Dz. U. z 2018 r. poz. 1398 oraz z 2019 r. poz. 730)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9</w:t>
      </w:r>
      <w:r>
        <w:rPr>
          <w:rFonts w:ascii="Times New Roman"/>
          <w:b w:val="false"/>
          <w:i w:val="false"/>
          <w:color w:val="000000"/>
          <w:sz w:val="24"/>
          <w:lang w:val="pl-Pl"/>
        </w:rPr>
        <w:t xml:space="preserve"> w ust. 1:</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wprowadzenie do wyliczenia otrzymuje brzmienie:</w:t>
      </w:r>
    </w:p>
    <w:p>
      <w:pPr>
        <w:spacing w:before="25" w:after="0"/>
        <w:ind w:left="746"/>
        <w:jc w:val="both"/>
        <w:textAlignment w:val="auto"/>
      </w:pPr>
      <w:r>
        <w:rPr>
          <w:rFonts w:ascii="Times New Roman"/>
          <w:b w:val="false"/>
          <w:i w:val="false"/>
          <w:color w:val="000000"/>
          <w:sz w:val="24"/>
          <w:lang w:val="pl-Pl"/>
        </w:rPr>
        <w:t>"Obszar gminy znajdujący się w stanie kryzysowym z powodu koncentracji negatywnych zjawisk społecznych, w szczególności bezrobocia, ubóstwa, przestępczości, wysokiej liczby mieszkańców będących osobami ze szczególnymi potrzebami, o których mowa w ustawie z dnia 19 lipca 2019 r. o zapewnianiu dostępności osobom ze szczególnymi potrzebami (Dz. U. poz. 1696), niskiego poziomu edukacji lub kapitału społecznego, a także niewystarczającego poziomu uczestnictwa w życiu publicznym i kulturalnym, można wyznaczyć jako obszar zdegradowany w przypadku występowania na nim ponadto co najmniej jednego z następujących negatywnych zjawisk:",</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pkt 3 i 4 otrzymują brzmienie:</w:t>
      </w:r>
    </w:p>
    <w:p>
      <w:pPr>
        <w:spacing w:before="25" w:after="0"/>
        <w:ind w:left="746"/>
        <w:jc w:val="both"/>
        <w:textAlignment w:val="auto"/>
      </w:pPr>
      <w:r>
        <w:rPr>
          <w:rFonts w:ascii="Times New Roman"/>
          <w:b w:val="false"/>
          <w:i w:val="false"/>
          <w:color w:val="000000"/>
          <w:sz w:val="24"/>
          <w:lang w:val="pl-Pl"/>
        </w:rPr>
        <w:t>"3) przestrzenno-funkcjonalnych - w szczególności niewystarczającego wyposażenia w infrastrukturę techniczną i społeczną lub jej złego stanu technicznego, braku dostępu do podstawowych usług lub ich niskiej jakości, niedostosowania rozwiązań urbanistycznych do zmieniających się funkcji obszaru, niedostosowania infrastruktury do potrzeb osób ze szczególnymi potrzebami, o których mowa w ustawie z dnia 19 lipca 2019 r. o zapewnianiu dostępności osobom ze szczególnymi potrzebami, niskiego poziomu obsługi komunikacyjnej, niedoboru lub niskiej jakości terenów publicznych, lub</w:t>
      </w:r>
    </w:p>
    <w:p>
      <w:pPr>
        <w:spacing w:before="25" w:after="0"/>
        <w:ind w:left="746"/>
        <w:jc w:val="both"/>
        <w:textAlignment w:val="auto"/>
      </w:pPr>
      <w:r>
        <w:rPr>
          <w:rFonts w:ascii="Times New Roman"/>
          <w:b w:val="false"/>
          <w:i w:val="false"/>
          <w:color w:val="000000"/>
          <w:sz w:val="24"/>
          <w:lang w:val="pl-Pl"/>
        </w:rPr>
        <w:t>4) technicznych - w szczególności degradacji stanu technicznego obiektów budowlanych, w tym o przeznaczeniu mieszkaniowym, oraz niefunkcjonowaniu rozwiązań technicznych umożliwiających efektywne korzystanie z obiektów budowlanych, w szczególności w zakresie energooszczędności, ochrony środowiska i zapewniania dostępności osobom ze szczególnymi potrzebami, o których mowa w ustawie z dnia 19 lipca 2019 r. o zapewnianiu dostępności osobom ze szczególnymi potrzebami.";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15</w:t>
      </w:r>
      <w:r>
        <w:rPr>
          <w:rFonts w:ascii="Times New Roman"/>
          <w:b w:val="false"/>
          <w:i w:val="false"/>
          <w:color w:val="000000"/>
          <w:sz w:val="24"/>
          <w:lang w:val="pl-Pl"/>
        </w:rPr>
        <w:t xml:space="preserve"> w ust. 1 w pkt 5 lit. a otrzymuje brzmienie:</w:t>
      </w:r>
    </w:p>
    <w:p>
      <w:pPr>
        <w:spacing w:before="25" w:after="0"/>
        <w:ind w:left="373"/>
        <w:jc w:val="both"/>
        <w:textAlignment w:val="auto"/>
      </w:pPr>
      <w:r>
        <w:rPr>
          <w:rFonts w:ascii="Times New Roman"/>
          <w:b w:val="false"/>
          <w:i w:val="false"/>
          <w:color w:val="000000"/>
          <w:sz w:val="24"/>
          <w:lang w:val="pl-Pl"/>
        </w:rPr>
        <w:t>"a) listę planowanych podstawowych przedsięwzięć rewitalizacyjnych, wraz z ich opisami zawierającymi w odniesieniu do każdego przedsięwzięcia: nazwę i wskazanie podmiotów je realizujących, zakres realizowanych zadań, lokalizację, szacowaną wartość, prognozowane rezultaty wraz ze sposobem ich oceny w odniesieniu do celów rewitalizacji, opis działań zapewniających dostępność osobom ze szczególnymi potrzebami, o których mowa w ustawie z dnia 19 lipca 2019 r. o zapewnianiu dostępności osobom ze szczególnymi potrzebami, o ile dane te są możliwe do wskazania,".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5 lipca 2018 r. o ułatwieniach w przygotowaniu i realizacji inwestycji mieszkaniowych oraz inwestycji towarzyszących (Dz. U. poz. 1496 oraz z 2019 r. poz. 630 i 1309) </w:t>
      </w:r>
      <w:r>
        <w:rPr>
          <w:rFonts w:ascii="Times New Roman"/>
          <w:b w:val="false"/>
          <w:i w:val="false"/>
          <w:color w:val="1b1b1b"/>
          <w:sz w:val="24"/>
          <w:lang w:val="pl-Pl"/>
        </w:rPr>
        <w:t>art. 58</w:t>
      </w:r>
      <w:r>
        <w:rPr>
          <w:rFonts w:ascii="Times New Roman"/>
          <w:b w:val="false"/>
          <w:i w:val="false"/>
          <w:color w:val="000000"/>
          <w:sz w:val="24"/>
          <w:lang w:val="pl-Pl"/>
        </w:rPr>
        <w:t xml:space="preserve"> otrzymuje brzmienie:</w:t>
      </w:r>
    </w:p>
    <w:p>
      <w:pPr>
        <w:spacing w:before="25" w:after="0"/>
        <w:ind w:left="0"/>
        <w:jc w:val="both"/>
        <w:textAlignment w:val="auto"/>
      </w:pPr>
      <w:r>
        <w:rPr>
          <w:rFonts w:ascii="Times New Roman"/>
          <w:b w:val="false"/>
          <w:i w:val="false"/>
          <w:color w:val="000000"/>
          <w:sz w:val="24"/>
          <w:lang w:val="pl-Pl"/>
        </w:rPr>
        <w:t>"Art. 58. Dotychczasowe przepisy wykonawcze wydane na podstawie art. 7 ust. 2 i 3 oraz art. 34 ust. 6 ustawy wymienionej w art. 44 w brzmieniu dotychczasowym zachowują moc i mogą być zmieniane.".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października 2018 r. o Solidarnościowym Funduszu Wsparcia Osób Niepełnosprawnych (Dz. U. poz. 2192 oraz z 2019 r. poz. 1622)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1</w:t>
      </w:r>
      <w:r>
        <w:rPr>
          <w:rFonts w:ascii="Times New Roman"/>
          <w:b w:val="false"/>
          <w:i w:val="false"/>
          <w:color w:val="000000"/>
          <w:sz w:val="24"/>
          <w:lang w:val="pl-Pl"/>
        </w:rPr>
        <w:t xml:space="preserve"> po ust. 1 dodaje się ust. 1a w brzmieniu:</w:t>
      </w:r>
    </w:p>
    <w:p>
      <w:pPr>
        <w:spacing w:before="25" w:after="0"/>
        <w:ind w:left="373"/>
        <w:jc w:val="both"/>
        <w:textAlignment w:val="auto"/>
      </w:pPr>
      <w:r>
        <w:rPr>
          <w:rFonts w:ascii="Times New Roman"/>
          <w:b w:val="false"/>
          <w:i w:val="false"/>
          <w:color w:val="000000"/>
          <w:sz w:val="24"/>
          <w:lang w:val="pl-Pl"/>
        </w:rPr>
        <w:t>"1a. Fundusz może także wspierać działania w zakresie zapewnienia dostępności osobom ze szczególnymi potrzebami lub jej poprawy, osobom ze szczególnymi potrzebami, o których mowa w ustawie z dnia 19 lipca 2019 r. o zapewnianiu dostępności osobom ze szczególnymi potrzebami (Dz. U. poz. 1696).";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art. 6 dodaje się art. 6a w brzmieniu:</w:t>
      </w:r>
    </w:p>
    <w:p>
      <w:pPr>
        <w:spacing w:before="25" w:after="0"/>
        <w:ind w:left="373"/>
        <w:jc w:val="both"/>
        <w:textAlignment w:val="auto"/>
      </w:pPr>
      <w:r>
        <w:rPr>
          <w:rFonts w:ascii="Times New Roman"/>
          <w:b w:val="false"/>
          <w:i w:val="false"/>
          <w:color w:val="000000"/>
          <w:sz w:val="24"/>
          <w:lang w:val="pl-Pl"/>
        </w:rPr>
        <w:t>"Art. 6a. 1. Środki Funduszu przeznacza się także na wsparcie udzielane w ramach Funduszu Dostępności, o którym mowa w rozdziale 5 ustawy z dnia 19 lipca 2019 r. o zapewnianiu dostępności osobom ze szczególnymi potrzebami, zwanego dalej "Funduszem Dostępności".</w:t>
      </w:r>
    </w:p>
    <w:p>
      <w:pPr>
        <w:spacing w:before="25" w:after="0"/>
        <w:ind w:left="373"/>
        <w:jc w:val="both"/>
        <w:textAlignment w:val="auto"/>
      </w:pPr>
      <w:r>
        <w:rPr>
          <w:rFonts w:ascii="Times New Roman"/>
          <w:b w:val="false"/>
          <w:i w:val="false"/>
          <w:color w:val="000000"/>
          <w:sz w:val="24"/>
          <w:lang w:val="pl-Pl"/>
        </w:rPr>
        <w:t>2. Wysokość odpisu ustala się corocznie w planie finansowym Funduszu.</w:t>
      </w:r>
    </w:p>
    <w:p>
      <w:pPr>
        <w:spacing w:before="25" w:after="0"/>
        <w:ind w:left="373"/>
        <w:jc w:val="both"/>
        <w:textAlignment w:val="auto"/>
      </w:pPr>
      <w:r>
        <w:rPr>
          <w:rFonts w:ascii="Times New Roman"/>
          <w:b w:val="false"/>
          <w:i w:val="false"/>
          <w:color w:val="000000"/>
          <w:sz w:val="24"/>
          <w:lang w:val="pl-Pl"/>
        </w:rPr>
        <w:t>3. Środki Funduszu są przekazywane na rachunek Funduszu Dostępności w terminie 21 dni od dnia ogłoszenia ustawy budżetowej na dany rok budżetowy.";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18</w:t>
      </w:r>
      <w:r>
        <w:rPr>
          <w:rFonts w:ascii="Times New Roman"/>
          <w:b w:val="false"/>
          <w:i w:val="false"/>
          <w:color w:val="000000"/>
          <w:sz w:val="24"/>
          <w:lang w:val="pl-Pl"/>
        </w:rPr>
        <w:t xml:space="preserve"> dotychczasową treść oznacza się jako ust. 1 i dodaje się ust. 2 brzmieniu:</w:t>
      </w:r>
    </w:p>
    <w:p>
      <w:pPr>
        <w:spacing w:before="25" w:after="0"/>
        <w:ind w:left="373"/>
        <w:jc w:val="both"/>
        <w:textAlignment w:val="auto"/>
      </w:pPr>
      <w:r>
        <w:rPr>
          <w:rFonts w:ascii="Times New Roman"/>
          <w:b w:val="false"/>
          <w:i w:val="false"/>
          <w:color w:val="000000"/>
          <w:sz w:val="24"/>
          <w:lang w:val="pl-Pl"/>
        </w:rPr>
        <w:t>"2. Środki Funduszu na realizację zadań, o których mowa w art. 6a, przekazane na rachunek Funduszu Dostępności stanowią koszty Funduszu.".</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Przepisy przejściowe, dostosowujące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56.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12 miesięcy od dnia wejścia w życie ustawy, ministrowie kierujący działami administracji rządowej dokonują, w zakresie swojej właściwości, przeglądu obowiązującego prawa pod kątem zapewnienia dostępności osobom ze szczególnymi potrzebami i sporządzą raporty zawierające propozycje zmian prawnych w tym zakresie.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Raporty, o których mowa w ust. 1, są kierowane do ministra właściwego do spraw rozwoju regionalnego, który kieruje je do zaopiniowania przez Radę Dostępności. Raporty są opiniowane przez Radę Dostępności w drodze uchwały, która może zawierać rekomendacje do zmian prawnych. Opinia Rady Dostępności nie jest wiążąca dla Rady Ministrów.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Właściwy minister, na wniosek ministra właściwego do spraw rozwoju regionalnego, w terminie 12 miesięcy od dnia otrzymania wniosku, przedstawia Radzie Ministrów informację o planowanych działaniach w zakresie określonym we wniosku, uwzględniającym rekomendacje, o których mowa w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57.  </w:t>
      </w:r>
    </w:p>
    <w:p>
      <w:pPr>
        <w:spacing w:after="0"/>
        <w:ind w:left="0"/>
        <w:jc w:val="left"/>
        <w:textAlignment w:val="auto"/>
      </w:pPr>
      <w:r>
        <w:rPr>
          <w:rFonts w:ascii="Times New Roman"/>
          <w:b w:val="false"/>
          <w:i w:val="false"/>
          <w:color w:val="000000"/>
          <w:sz w:val="24"/>
          <w:lang w:val="pl-Pl"/>
        </w:rPr>
        <w:t>Rządowy Program Dostępność Plus, przyjęty przez Radę Ministrów w dniu 17 lipca 2018 r., z dniem wejścia w życie ustawy staje się rządowym programem mającym na celu wsparcie działań na rzecz dostępności, o którym mowa w art. 10 ust. 2, i może być zmieniany.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58.  </w:t>
      </w:r>
    </w:p>
    <w:p>
      <w:pPr>
        <w:spacing w:after="0"/>
        <w:ind w:left="0"/>
        <w:jc w:val="left"/>
        <w:textAlignment w:val="auto"/>
      </w:pPr>
      <w:r>
        <w:rPr>
          <w:rFonts w:ascii="Times New Roman"/>
          <w:b w:val="false"/>
          <w:i w:val="false"/>
          <w:color w:val="000000"/>
          <w:sz w:val="24"/>
          <w:lang w:val="pl-Pl"/>
        </w:rPr>
        <w:t>Pierwsze raporty, o których mowa w art. 11 ust. 1, są przekazywane do dnia 31 marca 2021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59.  </w:t>
      </w:r>
    </w:p>
    <w:p>
      <w:pPr>
        <w:spacing w:after="0"/>
        <w:ind w:left="0"/>
        <w:jc w:val="left"/>
        <w:textAlignment w:val="auto"/>
      </w:pPr>
      <w:r>
        <w:rPr>
          <w:rFonts w:ascii="Times New Roman"/>
          <w:b w:val="false"/>
          <w:i w:val="false"/>
          <w:color w:val="000000"/>
          <w:sz w:val="24"/>
          <w:lang w:val="pl-Pl"/>
        </w:rPr>
        <w:t>Koordynatorzy do spraw dostępności, o których mowa w art. 14, zostaną wyznaczeni w terminie do dnia 30 września 2020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60.  </w:t>
      </w:r>
    </w:p>
    <w:p>
      <w:pPr>
        <w:spacing w:after="0"/>
        <w:ind w:left="0"/>
        <w:jc w:val="left"/>
        <w:textAlignment w:val="auto"/>
      </w:pPr>
      <w:r>
        <w:rPr>
          <w:rFonts w:ascii="Times New Roman"/>
          <w:b w:val="false"/>
          <w:i w:val="false"/>
          <w:color w:val="000000"/>
          <w:sz w:val="24"/>
          <w:lang w:val="pl-Pl"/>
        </w:rPr>
        <w:t xml:space="preserve">Przepisy </w:t>
      </w:r>
      <w:r>
        <w:rPr>
          <w:rFonts w:ascii="Times New Roman"/>
          <w:b w:val="false"/>
          <w:i w:val="false"/>
          <w:color w:val="1b1b1b"/>
          <w:sz w:val="24"/>
          <w:lang w:val="pl-Pl"/>
        </w:rPr>
        <w:t>art. 109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oraz </w:t>
      </w:r>
      <w:r>
        <w:rPr>
          <w:rFonts w:ascii="Times New Roman"/>
          <w:b w:val="false"/>
          <w:i w:val="false"/>
          <w:color w:val="1b1b1b"/>
          <w:sz w:val="24"/>
          <w:lang w:val="pl-Pl"/>
        </w:rPr>
        <w:t>art. 111 ust. 3</w:t>
      </w:r>
      <w:r>
        <w:rPr>
          <w:rFonts w:ascii="Times New Roman"/>
          <w:b w:val="false"/>
          <w:i w:val="false"/>
          <w:color w:val="000000"/>
          <w:sz w:val="24"/>
          <w:lang w:val="pl-Pl"/>
        </w:rPr>
        <w:t xml:space="preserve"> ustawy zmienianej w art. 46 w brzmieniu nadanym niniejszą ustawą stosuje się do ogólnych warunków umów, regulaminów oraz informacji, o których mowa w </w:t>
      </w:r>
      <w:r>
        <w:rPr>
          <w:rFonts w:ascii="Times New Roman"/>
          <w:b w:val="false"/>
          <w:i w:val="false"/>
          <w:color w:val="1b1b1b"/>
          <w:sz w:val="24"/>
          <w:lang w:val="pl-Pl"/>
        </w:rPr>
        <w:t>art. 109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oraz </w:t>
      </w:r>
      <w:r>
        <w:rPr>
          <w:rFonts w:ascii="Times New Roman"/>
          <w:b w:val="false"/>
          <w:i w:val="false"/>
          <w:color w:val="1b1b1b"/>
          <w:sz w:val="24"/>
          <w:lang w:val="pl-Pl"/>
        </w:rPr>
        <w:t>art. 111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zmienianej w art. 46, odpowiednio zawieranych lub opracowywanych albo zmienianych po upływie 2 miesięcy od dnia wejścia w życie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61.  </w:t>
      </w:r>
    </w:p>
    <w:p>
      <w:pPr>
        <w:spacing w:after="0"/>
        <w:ind w:left="0"/>
        <w:jc w:val="left"/>
        <w:textAlignment w:val="auto"/>
      </w:pPr>
      <w:r>
        <w:rPr>
          <w:rFonts w:ascii="Times New Roman"/>
          <w:b w:val="false"/>
          <w:i w:val="false"/>
          <w:color w:val="000000"/>
          <w:sz w:val="24"/>
          <w:lang w:val="pl-Pl"/>
        </w:rPr>
        <w:t xml:space="preserve">Przepisy </w:t>
      </w:r>
      <w:r>
        <w:rPr>
          <w:rFonts w:ascii="Times New Roman"/>
          <w:b w:val="false"/>
          <w:i w:val="false"/>
          <w:color w:val="1b1b1b"/>
          <w:sz w:val="24"/>
          <w:lang w:val="pl-Pl"/>
        </w:rPr>
        <w:t>art. 10 ust. 1 pkt 5</w:t>
      </w:r>
      <w:r>
        <w:rPr>
          <w:rFonts w:ascii="Times New Roman"/>
          <w:b w:val="false"/>
          <w:i w:val="false"/>
          <w:color w:val="000000"/>
          <w:sz w:val="24"/>
          <w:lang w:val="pl-Pl"/>
        </w:rPr>
        <w:t xml:space="preserve"> oraz </w:t>
      </w:r>
      <w:r>
        <w:rPr>
          <w:rFonts w:ascii="Times New Roman"/>
          <w:b w:val="false"/>
          <w:i w:val="false"/>
          <w:color w:val="1b1b1b"/>
          <w:sz w:val="24"/>
          <w:lang w:val="pl-Pl"/>
        </w:rPr>
        <w:t>art. 15 ust. 1 pkt 2</w:t>
      </w:r>
      <w:r>
        <w:rPr>
          <w:rFonts w:ascii="Times New Roman"/>
          <w:b w:val="false"/>
          <w:i w:val="false"/>
          <w:color w:val="000000"/>
          <w:sz w:val="24"/>
          <w:lang w:val="pl-Pl"/>
        </w:rPr>
        <w:t xml:space="preserve"> ustawy zamienianej w art. 48 w brzmieniu nadanym niniejsza ustawą stosuje się do studiów uwarunkowań i kierunków zagospodarowania przestrzennego gminy oraz miejscowych planów zagospodarowania przestrzennego, których sporządzanie albo zmianę rozpoczęto po upływie 6 miesięcy od dnia wejścia w życie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62.  </w:t>
      </w:r>
    </w:p>
    <w:p>
      <w:pPr>
        <w:spacing w:after="0"/>
        <w:ind w:left="0"/>
        <w:jc w:val="left"/>
        <w:textAlignment w:val="auto"/>
      </w:pPr>
      <w:r>
        <w:rPr>
          <w:rFonts w:ascii="Times New Roman"/>
          <w:b w:val="false"/>
          <w:i w:val="false"/>
          <w:color w:val="000000"/>
          <w:sz w:val="24"/>
          <w:lang w:val="pl-Pl"/>
        </w:rPr>
        <w:t>Do dokumentacji konserwatorskiej, której opracowanie rozpoczęto przed dniem wejścia w życie niniejszej ustawy, stosuje się przepisy ustawy zmienianej w art. 49 w brzmieniu dotychczasowym.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63.  </w:t>
      </w:r>
    </w:p>
    <w:p>
      <w:pPr>
        <w:spacing w:after="0"/>
        <w:ind w:left="0"/>
        <w:jc w:val="left"/>
        <w:textAlignment w:val="auto"/>
      </w:pPr>
      <w:r>
        <w:rPr>
          <w:rFonts w:ascii="Times New Roman"/>
          <w:b w:val="false"/>
          <w:i w:val="false"/>
          <w:color w:val="000000"/>
          <w:sz w:val="24"/>
          <w:lang w:val="pl-Pl"/>
        </w:rPr>
        <w:t xml:space="preserve">Przepis </w:t>
      </w:r>
      <w:r>
        <w:rPr>
          <w:rFonts w:ascii="Times New Roman"/>
          <w:b w:val="false"/>
          <w:i w:val="false"/>
          <w:color w:val="1b1b1b"/>
          <w:sz w:val="24"/>
          <w:lang w:val="pl-Pl"/>
        </w:rPr>
        <w:t>art. 12 ust. 2</w:t>
      </w:r>
      <w:r>
        <w:rPr>
          <w:rFonts w:ascii="Times New Roman"/>
          <w:b w:val="false"/>
          <w:i w:val="false"/>
          <w:color w:val="000000"/>
          <w:sz w:val="24"/>
          <w:lang w:val="pl-Pl"/>
        </w:rPr>
        <w:t xml:space="preserve"> ustawy zmienianej w art. 51 w brzmieniu nadanym niniejszą ustawą stosuje się do informacji, o których mowa w </w:t>
      </w:r>
      <w:r>
        <w:rPr>
          <w:rFonts w:ascii="Times New Roman"/>
          <w:b w:val="false"/>
          <w:i w:val="false"/>
          <w:color w:val="1b1b1b"/>
          <w:sz w:val="24"/>
          <w:lang w:val="pl-Pl"/>
        </w:rPr>
        <w:t>art. 12 ust. 1</w:t>
      </w:r>
      <w:r>
        <w:rPr>
          <w:rFonts w:ascii="Times New Roman"/>
          <w:b w:val="false"/>
          <w:i w:val="false"/>
          <w:color w:val="000000"/>
          <w:sz w:val="24"/>
          <w:lang w:val="pl-Pl"/>
        </w:rPr>
        <w:t xml:space="preserve"> oraz w </w:t>
      </w:r>
      <w:r>
        <w:rPr>
          <w:rFonts w:ascii="Times New Roman"/>
          <w:b w:val="false"/>
          <w:i w:val="false"/>
          <w:color w:val="1b1b1b"/>
          <w:sz w:val="24"/>
          <w:lang w:val="pl-Pl"/>
        </w:rPr>
        <w:t>art. 9-11</w:t>
      </w:r>
      <w:r>
        <w:rPr>
          <w:rFonts w:ascii="Times New Roman"/>
          <w:b w:val="false"/>
          <w:i w:val="false"/>
          <w:color w:val="000000"/>
          <w:sz w:val="24"/>
          <w:lang w:val="pl-Pl"/>
        </w:rPr>
        <w:t xml:space="preserve"> tej ustawy, po upływie 2 miesięcy od dnia wejścia w życie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64.  </w:t>
      </w:r>
    </w:p>
    <w:p>
      <w:pPr>
        <w:spacing w:after="0"/>
        <w:ind w:left="0"/>
        <w:jc w:val="left"/>
        <w:textAlignment w:val="auto"/>
      </w:pPr>
      <w:r>
        <w:rPr>
          <w:rFonts w:ascii="Times New Roman"/>
          <w:b w:val="false"/>
          <w:i w:val="false"/>
          <w:color w:val="000000"/>
          <w:sz w:val="24"/>
          <w:lang w:val="pl-Pl"/>
        </w:rPr>
        <w:t xml:space="preserve">Do postępowań o udzielenie zamówienia publicznego, wszczętych i niezakończonych przed dniem wejścia w życie niniejszej ustawy,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zmienianej w art. 52 w brzmieniu dotychczasowym.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65.  </w:t>
      </w:r>
    </w:p>
    <w:p>
      <w:pPr>
        <w:spacing w:after="0"/>
        <w:ind w:left="0"/>
        <w:jc w:val="left"/>
        <w:textAlignment w:val="auto"/>
      </w:pPr>
      <w:r>
        <w:rPr>
          <w:rFonts w:ascii="Times New Roman"/>
          <w:b w:val="false"/>
          <w:i w:val="false"/>
          <w:color w:val="000000"/>
          <w:sz w:val="24"/>
          <w:lang w:val="pl-Pl"/>
        </w:rPr>
        <w:t xml:space="preserve">Przepis </w:t>
      </w:r>
      <w:r>
        <w:rPr>
          <w:rFonts w:ascii="Times New Roman"/>
          <w:b w:val="false"/>
          <w:i w:val="false"/>
          <w:color w:val="1b1b1b"/>
          <w:sz w:val="24"/>
          <w:lang w:val="pl-Pl"/>
        </w:rPr>
        <w:t>art. 15 ust. 1 pkt 5 lit. a</w:t>
      </w:r>
      <w:r>
        <w:rPr>
          <w:rFonts w:ascii="Times New Roman"/>
          <w:b w:val="false"/>
          <w:i w:val="false"/>
          <w:color w:val="000000"/>
          <w:sz w:val="24"/>
          <w:lang w:val="pl-Pl"/>
        </w:rPr>
        <w:t xml:space="preserve"> ustawy zmienianej w art. 53, w brzmieniu nadanym niniejszą ustawą, stosuje się do gminnych programów rewitalizacji przyjmowanych albo aktualizowanych po upływie 6 miesięcy od dnia wejścia w życie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66.  </w:t>
      </w:r>
    </w:p>
    <w:p>
      <w:pPr>
        <w:spacing w:after="0"/>
        <w:ind w:left="0"/>
        <w:jc w:val="left"/>
        <w:textAlignment w:val="auto"/>
      </w:pPr>
      <w:r>
        <w:rPr>
          <w:rFonts w:ascii="Times New Roman"/>
          <w:b w:val="false"/>
          <w:i w:val="false"/>
          <w:color w:val="000000"/>
          <w:sz w:val="24"/>
          <w:lang w:val="pl-Pl"/>
        </w:rPr>
        <w:t xml:space="preserve">Dotychczasowe przepisy wykonawcze wydane na podstawie </w:t>
      </w:r>
      <w:r>
        <w:rPr>
          <w:rFonts w:ascii="Times New Roman"/>
          <w:b w:val="false"/>
          <w:i w:val="false"/>
          <w:color w:val="1b1b1b"/>
          <w:sz w:val="24"/>
          <w:lang w:val="pl-Pl"/>
        </w:rPr>
        <w:t>art. 7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oraz </w:t>
      </w:r>
      <w:r>
        <w:rPr>
          <w:rFonts w:ascii="Times New Roman"/>
          <w:b w:val="false"/>
          <w:i w:val="false"/>
          <w:color w:val="1b1b1b"/>
          <w:sz w:val="24"/>
          <w:lang w:val="pl-Pl"/>
        </w:rPr>
        <w:t>art. 34 ust. 6 pkt 1</w:t>
      </w:r>
      <w:r>
        <w:rPr>
          <w:rFonts w:ascii="Times New Roman"/>
          <w:b w:val="false"/>
          <w:i w:val="false"/>
          <w:color w:val="000000"/>
          <w:sz w:val="24"/>
          <w:lang w:val="pl-Pl"/>
        </w:rPr>
        <w:t xml:space="preserve"> ustawy zmienianej w art. 44 zachowują moc do dnia wejścia w życie przepisów wykonawczych wydanych na podstawie </w:t>
      </w:r>
      <w:r>
        <w:rPr>
          <w:rFonts w:ascii="Times New Roman"/>
          <w:b w:val="false"/>
          <w:i w:val="false"/>
          <w:color w:val="1b1b1b"/>
          <w:sz w:val="24"/>
          <w:lang w:val="pl-Pl"/>
        </w:rPr>
        <w:t>art. 7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oraz </w:t>
      </w:r>
      <w:r>
        <w:rPr>
          <w:rFonts w:ascii="Times New Roman"/>
          <w:b w:val="false"/>
          <w:i w:val="false"/>
          <w:color w:val="1b1b1b"/>
          <w:sz w:val="24"/>
          <w:lang w:val="pl-Pl"/>
        </w:rPr>
        <w:t>art. 34 ust. 6 pkt 1</w:t>
      </w:r>
      <w:r>
        <w:rPr>
          <w:rFonts w:ascii="Times New Roman"/>
          <w:b w:val="false"/>
          <w:i w:val="false"/>
          <w:color w:val="000000"/>
          <w:sz w:val="24"/>
          <w:lang w:val="pl-Pl"/>
        </w:rPr>
        <w:t xml:space="preserve"> ustawy zmienianej w art. 44 w brzmieniu nadanym niniejszą ustawą, nie dłużej jednak niż przez 36 miesięcy od dnia wejścia w życie niniejszej ustawy, i mogą być w tym czasie zmieniane na podstawie tych przepisów w brzmieniu nadanym niniejszą ustawą, w szczególności z uwzględnieniem potrzeb osób ze szczególnymi potrzebami.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67.  </w:t>
      </w:r>
    </w:p>
    <w:p>
      <w:pPr>
        <w:spacing w:after="0"/>
        <w:ind w:left="0"/>
        <w:jc w:val="left"/>
        <w:textAlignment w:val="auto"/>
      </w:pPr>
      <w:r>
        <w:rPr>
          <w:rFonts w:ascii="Times New Roman"/>
          <w:b w:val="false"/>
          <w:i w:val="false"/>
          <w:color w:val="000000"/>
          <w:sz w:val="24"/>
          <w:lang w:val="pl-Pl"/>
        </w:rPr>
        <w:t xml:space="preserve">Minister właściwy do spraw zabezpieczenia społecznego, w terminie 30 dni od dnia wejścia w życie niniejszej ustawy, powoła, na wniosek Pełnomocnika Rządu do Spraw Osób Niepełnosprawnych, w skład Rady Nadzorczej Państwowego Funduszu Rehabilitacji Osób Niepełnosprawnych, o której mowa w </w:t>
      </w:r>
      <w:r>
        <w:rPr>
          <w:rFonts w:ascii="Times New Roman"/>
          <w:b w:val="false"/>
          <w:i w:val="false"/>
          <w:color w:val="1b1b1b"/>
          <w:sz w:val="24"/>
          <w:lang w:val="pl-Pl"/>
        </w:rPr>
        <w:t>ustawie</w:t>
      </w:r>
      <w:r>
        <w:rPr>
          <w:rFonts w:ascii="Times New Roman"/>
          <w:b w:val="false"/>
          <w:i w:val="false"/>
          <w:color w:val="000000"/>
          <w:sz w:val="24"/>
          <w:lang w:val="pl-Pl"/>
        </w:rPr>
        <w:t xml:space="preserve"> zmienianej w art. 45, członka wskazanego przez ministra właściwego do spraw rozwoju regionalnego.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68.  </w:t>
      </w:r>
    </w:p>
    <w:p>
      <w:pPr>
        <w:spacing w:after="0"/>
        <w:ind w:left="0"/>
        <w:jc w:val="left"/>
        <w:textAlignment w:val="auto"/>
      </w:pPr>
      <w:r>
        <w:rPr>
          <w:rFonts w:ascii="Times New Roman"/>
          <w:b w:val="false"/>
          <w:i w:val="false"/>
          <w:color w:val="000000"/>
          <w:sz w:val="24"/>
          <w:lang w:val="pl-Pl"/>
        </w:rPr>
        <w:t>W 2019 r. środki Solidarnościowego Funduszu Wsparcia Osób Niepełnosprawnych, o którym mowa w ustawie zmienianej w art. 55, w kwocie 40 000 000 zł, zostaną przekazane na rachunek Funduszu Dostępności, o którym mowa w art. 35 niniejszej ustawy, w terminie 14 dni od dnia wejścia w życie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69.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Pierwszy plan finansowy Funduszu Dostępności, o którym mowa w art. 41 niniejszej ustawy, sporządza jego dysponent na okres od dnia utworzenia Funduszu Dostępności do dnia 31 grudnia 2019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Projekt planu, o którym mowa w ust. 1, jest sporządzany w terminie 14 dni od dnia wejścia w życie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70.  </w:t>
      </w:r>
    </w:p>
    <w:p>
      <w:pPr>
        <w:spacing w:after="0"/>
        <w:ind w:left="0"/>
        <w:jc w:val="left"/>
        <w:textAlignment w:val="auto"/>
      </w:pPr>
      <w:r>
        <w:rPr>
          <w:rFonts w:ascii="Times New Roman"/>
          <w:b w:val="false"/>
          <w:i w:val="false"/>
          <w:color w:val="000000"/>
          <w:sz w:val="24"/>
          <w:lang w:val="pl-Pl"/>
        </w:rPr>
        <w:t>Jeżeli podmiot publiczny, w okresie 24 miesięcy od dnia ogłoszenia niniejszej ustawy, nie zapewni dostępności osobie ze szczególnymi potrzebami, zapewnienie dostępu alternatywnego, o którym mowa w art. 7, jest traktowane jako zapewnienie dostępności.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  </w:t>
      </w:r>
    </w:p>
    <w:p>
      <w:pPr>
        <w:spacing w:after="0"/>
        <w:ind w:left="0"/>
        <w:jc w:val="left"/>
        <w:textAlignment w:val="auto"/>
      </w:pPr>
      <w:r>
        <w:rPr>
          <w:rFonts w:ascii="Times New Roman"/>
          <w:b w:val="false"/>
          <w:i w:val="false"/>
          <w:color w:val="000000"/>
          <w:sz w:val="24"/>
          <w:lang w:val="pl-Pl"/>
        </w:rPr>
        <w:t>Tworzy się Radę Dostępności.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72.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latach 2019-2028 maksymalny limit wydatków budżetu państwa, będących skutkiem finansowym ustawy wynosi 375 112 000 zł, w tym w poszczególnych latach wynosi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2019 r.-0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2020 r. - 50 432 000,00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2021 r. -63 918 333,33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2022 r. - 37 251 666,67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2023 r. - 37 251 666,67 zł;</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2024 r. - 37 251 666,67 zł;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2025 r. - 37 251 666,67 zł;</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2026 r. - 37 251 666,67 zł;</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2027 r. - 37 251 666,67 zł;</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2028 r. - 37 251 666,67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rozwoju regionalnego monitoruje wykorzystanie limitu wydatków, o którym mowa w ust. 1, i dokonuje oceny wykorzystania tego limitu według stanu na koniec każdego kwartału, a w przypadku czwartego kwartału - według stanu na dzień 20 listopada danego roku.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przekroczenia lub zagrożenia przekroczenia przyjętego na dany rok budżetowy limitu wydatków, o których mowa w ust. 1, stosuje się mechanizm korygujący, polegający na zablokowaniu wydatków budżetu państwa będących skutkiem finansowym niniejszej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wdrożenie mechanizmu korygującego odpowiada minister właściwy do spraw rozwoju regionalnego.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73.  </w:t>
      </w:r>
    </w:p>
    <w:p>
      <w:pPr>
        <w:spacing w:after="0"/>
        <w:ind w:left="0"/>
        <w:jc w:val="left"/>
        <w:textAlignment w:val="auto"/>
      </w:pPr>
      <w:r>
        <w:rPr>
          <w:rFonts w:ascii="Times New Roman"/>
          <w:b w:val="false"/>
          <w:i w:val="false"/>
          <w:color w:val="000000"/>
          <w:sz w:val="24"/>
          <w:lang w:val="pl-Pl"/>
        </w:rPr>
        <w:t>Ustawa wchodzi w życie po upływie 14 dni od dnia ogłoszenia,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 ust. 2, art. 6 pkt 2 oraz art. 7 ust. 3, które wchodzą w życie w zakresie: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stron internetowych podmiotów publicznych nieopublikowanych przed dniem 23 września 2018 r. - z dniem 23 września 2019 r.,</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stron internetowych podmiotów publicznych opublikowanych przed dniem 23 września 2018 r. - z dniem 23 września 2020 r.,</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aplikacji mobilnych podmiotów publicznych - z dniem 23 czerwca 2021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15-28, które wchodzą w życie po upływie 18 miesięcy od dnia ogłoszenia;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4 ust. 3 i 4, art. 5 ust. 2, art. 29-34 i art. 51, które wchodzą w życie po upływie 24 miesięcy od dnia ogłoszenia.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Art. 36 ust. 1 pkt 7 zmieniony przez art. 11 ustawy z dnia 20 grudnia 2019 r. (Dz.U.2019.2473) zmieniającej nin. ustawę z dniem 22 grudnia 2019 r.</w:t>
      </w:r>
    </w:p>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