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3 (Apache licensed) using REFERENCE JAXB in Oracle Java 11.0.5 on Linux -->
    <w:p>
      <w:pPr>
        <w:pStyle w:val="TitleStyle"/>
      </w:pPr>
      <w:r>
        <w:t>Karta Praw Osób Niepełnosprawnych.</w:t>
      </w:r>
    </w:p>
    <w:p>
      <w:pPr>
        <w:pStyle w:val="NormalStyle"/>
      </w:pPr>
      <w:r>
        <w:t>M.P.1997.50.475 z dnia 1997.08.13</w:t>
      </w:r>
    </w:p>
    <w:p>
      <w:pPr>
        <w:pStyle w:val="NormalStyle"/>
      </w:pPr>
      <w:r>
        <w:t xml:space="preserve">Status: Akt obowiązujący </w:t>
      </w:r>
    </w:p>
    <w:p>
      <w:pPr>
        <w:pStyle w:val="NormalStyle"/>
      </w:pPr>
      <w:r>
        <w:t xml:space="preserve">Wersja od: 13 sierpnia 1997r.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 xml:space="preserve"> 13 sierpnia 1997 r.</w:t>
      </w: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UCHWAŁA</w:t>
      </w:r>
    </w:p>
    <w:p>
      <w:pPr>
        <w:spacing w:after="0"/>
        <w:ind w:left="0"/>
        <w:jc w:val="center"/>
        <w:textAlignment w:val="auto"/>
      </w:pPr>
      <w:r>
        <w:rPr>
          <w:rFonts w:ascii="Times New Roman"/>
          <w:b/>
          <w:i w:val="false"/>
          <w:color w:val="000000"/>
          <w:sz w:val="24"/>
          <w:lang w:val="pl-Pl"/>
        </w:rPr>
        <w:t>SEJMU RZECZYPOSPOLITEJ POLSKIEJ</w:t>
      </w:r>
    </w:p>
    <w:p>
      <w:pPr>
        <w:spacing w:before="80" w:after="0"/>
        <w:ind w:left="0"/>
        <w:jc w:val="center"/>
        <w:textAlignment w:val="auto"/>
      </w:pPr>
      <w:r>
        <w:rPr>
          <w:rFonts w:ascii="Times New Roman"/>
          <w:b w:val="false"/>
          <w:i w:val="false"/>
          <w:color w:val="000000"/>
          <w:sz w:val="24"/>
          <w:lang w:val="pl-Pl"/>
        </w:rPr>
        <w:t>z dnia 1 sierpnia 1997 r.</w:t>
      </w:r>
    </w:p>
    <w:p>
      <w:pPr>
        <w:spacing w:before="80" w:after="0"/>
        <w:ind w:left="0"/>
        <w:jc w:val="center"/>
        <w:textAlignment w:val="auto"/>
      </w:pPr>
      <w:r>
        <w:rPr>
          <w:rFonts w:ascii="Times New Roman"/>
          <w:b/>
          <w:i w:val="false"/>
          <w:color w:val="000000"/>
          <w:sz w:val="24"/>
          <w:lang w:val="pl-Pl"/>
        </w:rPr>
        <w:t>Karta Praw Osób Niepełnosprawnych.</w:t>
      </w:r>
    </w:p>
    <w:p>
      <w:pPr>
        <w:spacing w:before="26"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Sejm Rzeczypospolitej Polskiej uznaje, że osoby niepełnosprawne, czyli osoby, których sprawność fizyczna, psychiczna lub umysłowa trwale lub okresowo utrudnia, ogranicza lub uniemożliwia życie codzienne, naukę, pracę oraz pełnienie ról społecznych, zgodnie z normami prawnymi i zwyczajowymi, mają prawo do niezależnego, samodzielnego i aktywnego życia oraz nie mogą podlegać dyskryminacji.</w:t>
      </w:r>
    </w:p>
    <w:p>
      <w:pPr>
        <w:spacing w:before="25" w:after="0"/>
        <w:ind w:left="0"/>
        <w:jc w:val="left"/>
        <w:textAlignment w:val="auto"/>
      </w:pPr>
      <w:r>
        <w:rPr>
          <w:rFonts w:ascii="Times New Roman"/>
          <w:b w:val="false"/>
          <w:i w:val="false"/>
          <w:color w:val="000000"/>
          <w:sz w:val="24"/>
          <w:lang w:val="pl-Pl"/>
        </w:rPr>
        <w:t>Sejm stwierdza, iż oznacza to w szczególności prawo osób niepełnosprawnych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dostępu do dóbr i usług umożliwiających pełne uczestnictwo w życiu społecznym,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dostępu do leczenia i opieki medycznej, wczesnej diagnostyki, rehabilitacji i edukacji leczniczej, a także do świadczeń zdrowotnych uwzględniających rodzaj i stopień niepełnosprawności, w tym do zaopatrzenia w przedmioty ortopedyczne, środki pomocnicze, sprzęt rehabilitacyjny,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dostępu do wszechstronnej rehabilitacji mającej na celu adaptację społeczną,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nauki w szkołach wspólnie ze swymi pełnosprawnymi rówieśnikami, jak również do korzystania ze szkolnictwa specjalnego lub edukacji indywidualnej,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pomocy psychologicznej, pedagogicznej i innej pomocy specjalistycznej umożliwiającej rozwój, zdobycie lub podniesienie kwalifikacji ogólnych i zawodowych,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pracy na otwartym rynku pracy zgodnie z kwalifikacjami, wykształceniem i możliwościami oraz korzystania z doradztwa zawodowego i pośrednictwa, a gdy niepełnosprawność i stan zdrowia tego wymaga - prawo do pracy w warunkach dostosowanych do potrzeb niepełnosprawnych,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zabezpieczenia społecznego uwzględniającego konieczność ponoszenia zwiększonych kosztów wynikających z niepełnosprawności, jak również uwzględnienia tych kosztów w systemie podatkowym,</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życia w środowisku wolnym od barier funkcjonalnych, w tym:</w:t>
      </w:r>
    </w:p>
    <w:p>
      <w:pPr>
        <w:spacing w:after="0"/>
        <w:ind w:left="373"/>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dostępu do urzędów, punktów wyborczych i obiektów użyteczności publicznej,</w:t>
      </w:r>
    </w:p>
    <w:p>
      <w:pPr>
        <w:spacing w:after="0"/>
        <w:ind w:left="373"/>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swobodnego przemieszczania się i powszechnego korzystania ze środków transportu,</w:t>
      </w:r>
    </w:p>
    <w:p>
      <w:pPr>
        <w:spacing w:after="0"/>
        <w:ind w:left="373"/>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dostępu do informacji,</w:t>
      </w:r>
    </w:p>
    <w:p>
      <w:pPr>
        <w:spacing w:after="0"/>
        <w:ind w:left="373"/>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możliwości komunikacji międzyludzkiej,</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posiadania samorządnej reprezentacji swego środowiska oraz do konsultowania z nim wszelkich projektów aktów prawnych dotyczących osób niepełnosprawnych,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pełnego uczestnictwa w życiu publicznym, społecznym, kulturalnym, artystycznym, sportowym oraz rekreacji i turystyce odpowiednio do swych zainteresowań i potrzeb.</w:t>
      </w:r>
    </w:p>
    <w:p>
      <w:pPr>
        <w:spacing w:before="26" w:after="24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Sejm Rzeczypospolitej Polskiej stwierdzając, iż powyższe prawa wynikają z </w:t>
      </w:r>
      <w:r>
        <w:rPr>
          <w:rFonts w:ascii="Times New Roman"/>
          <w:b w:val="false"/>
          <w:i w:val="false"/>
          <w:color w:val="1b1b1b"/>
          <w:sz w:val="24"/>
          <w:lang w:val="pl-Pl"/>
        </w:rPr>
        <w:t>Konstytucji</w:t>
      </w:r>
      <w:r>
        <w:rPr>
          <w:rFonts w:ascii="Times New Roman"/>
          <w:b w:val="false"/>
          <w:i w:val="false"/>
          <w:color w:val="000000"/>
          <w:sz w:val="24"/>
          <w:lang w:val="pl-Pl"/>
        </w:rPr>
        <w:t xml:space="preserve">, Powszechnej Deklaracji Praw Człowieka, </w:t>
      </w:r>
      <w:r>
        <w:rPr>
          <w:rFonts w:ascii="Times New Roman"/>
          <w:b w:val="false"/>
          <w:i w:val="false"/>
          <w:color w:val="1b1b1b"/>
          <w:sz w:val="24"/>
          <w:lang w:val="pl-Pl"/>
        </w:rPr>
        <w:t>Konwencji Praw Dziecka</w:t>
      </w:r>
      <w:r>
        <w:rPr>
          <w:rFonts w:ascii="Times New Roman"/>
          <w:b w:val="false"/>
          <w:i w:val="false"/>
          <w:color w:val="000000"/>
          <w:sz w:val="24"/>
          <w:lang w:val="pl-Pl"/>
        </w:rPr>
        <w:t>, Standardowych Zasad Wyrównywania Szans Osób Niepełnosprawnych, aktów prawa międzynarodowego i wewnętrznego, wzywa Rząd Rzeczypospolitej Polskiej i władze samorządowe do podjęcia działań ukierunkowanych na urzeczywistnienie tych praw.</w:t>
      </w:r>
    </w:p>
    <w:p>
      <w:pPr>
        <w:spacing w:before="26" w:after="24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Sejm Rzeczypospolitej Polskiej wzywa Rząd Rzeczypospolitej Polskiej do składania corocznie, w terminie do dnia 30 czerwca, informacji o podjętych działaniach w celu urzeczywistnienia praw osób niepełnosprawnych.</w:t>
      </w:r>
    </w:p>
    <w:p>
      <w:pPr>
        <w:spacing w:before="26" w:after="240"/>
        <w:ind w:left="0"/>
        <w:jc w:val="left"/>
        <w:textAlignment w:val="auto"/>
      </w:pPr>
      <w:r>
        <w:rPr>
          <w:rFonts w:ascii="Times New Roman"/>
          <w:b/>
          <w:i w:val="false"/>
          <w:color w:val="000000"/>
          <w:sz w:val="24"/>
          <w:lang w:val="pl-Pl"/>
        </w:rPr>
        <w:t xml:space="preserve">§  4. </w:t>
      </w:r>
      <w:r>
        <w:rPr>
          <w:rFonts w:ascii="Times New Roman"/>
          <w:b w:val="false"/>
          <w:i w:val="false"/>
          <w:color w:val="000000"/>
          <w:sz w:val="24"/>
          <w:lang w:val="pl-Pl"/>
        </w:rPr>
        <w:t>Uchwała wchodzi w życie z dniem ogłoszenia.</w:t>
      </w:r>
    </w:p>
    <w:sectPr>
      <w:pgSz w:w="11907" w:h="16839" w:code="9"/>
      <w:pgMar w:top="1440" w:right="1440" w:bottom="1440" w:left="1440"/>
    </w:sectPr>
  </w:body>
</w:document>
</file>

<file path=word/numbering.xml><?xml version="1.0" encoding="utf-8"?>
<w:numbering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